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jc w:val="center"/>
      </w:pPr>
      <w:r>
        <w:rPr>
          <w:rFonts w:ascii="Times New Roman" w:hAnsi="Times New Roman"/>
          <w:b/>
          <w:i w:val="0"/>
          <w:sz w:val="26"/>
          <w:u w:val="none"/>
        </w:rPr>
        <w:t>CỘNG HOÀ XÃ HỘI CHỦ NGHĨA VIỆT NAM</w:t>
      </w:r>
    </w:p>
    <w:p>
      <w:pPr>
        <w:spacing w:after="40" w:before="0" w:line="276" w:lineRule="auto"/>
        <w:jc w:val="center"/>
      </w:pPr>
      <w:r>
        <w:rPr>
          <w:rFonts w:ascii="Times New Roman" w:hAnsi="Times New Roman"/>
          <w:b/>
          <w:i w:val="0"/>
          <w:sz w:val="26"/>
          <w:u w:val="none"/>
        </w:rPr>
        <w:t>Độc lập - Tự do - Hạnh phúc</w:t>
      </w:r>
    </w:p>
    <w:p>
      <w:pPr>
        <w:spacing w:after="280" w:before="0" w:line="276" w:lineRule="auto"/>
        <w:jc w:val="center"/>
      </w:pPr>
      <w:r>
        <w:rPr>
          <w:rFonts w:ascii="Times New Roman" w:hAnsi="Times New Roman"/>
          <w:b w:val="0"/>
          <w:i w:val="0"/>
          <w:sz w:val="24"/>
          <w:u w:val="none"/>
        </w:rPr>
        <w:t>----------o0o----------</w:t>
      </w:r>
    </w:p>
    <w:p>
      <w:pPr>
        <w:spacing w:after="80" w:before="0" w:line="276" w:lineRule="auto"/>
        <w:jc w:val="center"/>
      </w:pPr>
      <w:r>
        <w:rPr>
          <w:rFonts w:ascii="Times New Roman" w:hAnsi="Times New Roman"/>
          <w:b/>
          <w:i w:val="0"/>
          <w:sz w:val="30"/>
          <w:u w:val="none"/>
        </w:rPr>
        <w:t>HỢP ĐỒNG MUA BÁN</w:t>
      </w:r>
    </w:p>
    <w:p>
      <w:pPr>
        <w:spacing w:after="280" w:before="0" w:line="276" w:lineRule="auto"/>
        <w:jc w:val="center"/>
      </w:pPr>
      <w:r>
        <w:rPr>
          <w:rFonts w:ascii="Times New Roman" w:hAnsi="Times New Roman"/>
          <w:b w:val="0"/>
          <w:i/>
          <w:sz w:val="24"/>
          <w:u w:val="none"/>
        </w:rPr>
        <w:t xml:space="preserve">Số: </w:t>
      </w:r>
      <w:r>
        <w:rPr>
          <w:rFonts w:ascii="Times New Roman" w:hAnsi="Times New Roman"/>
          <w:b w:val="0"/>
          <w:i/>
          <w:sz w:val="24"/>
          <w:u w:val="none"/>
        </w:rPr>
        <w:t>12.09/2025/HĐMB/NT-PP</w:t>
      </w:r>
    </w:p>
    <w:p>
      <w:pPr>
        <w:spacing w:after="60" w:before="0" w:line="276" w:lineRule="auto"/>
        <w:jc w:val="both"/>
      </w:pPr>
      <w:r>
        <w:rPr>
          <w:rFonts w:ascii="Times New Roman" w:hAnsi="Times New Roman"/>
          <w:b w:val="0"/>
          <w:i/>
          <w:sz w:val="24"/>
          <w:u w:val="none"/>
        </w:rPr>
        <w:t>- Căn cứ Bộ Luật Thương mại được Quốc hội nước Cộng Hoà Xã Hội Chủ Nghĩa Việt Nam thông qua ngày 14 tháng 6 năm 2005;</w:t>
      </w:r>
    </w:p>
    <w:p>
      <w:pPr>
        <w:spacing w:after="60" w:before="0" w:line="276" w:lineRule="auto"/>
        <w:jc w:val="both"/>
      </w:pPr>
      <w:r>
        <w:rPr>
          <w:rFonts w:ascii="Times New Roman" w:hAnsi="Times New Roman"/>
          <w:b w:val="0"/>
          <w:i/>
          <w:sz w:val="24"/>
          <w:u w:val="none"/>
        </w:rPr>
        <w:t>- Căn cứ Luật đấu thầu số 22/2023/QH15 ngày ngày 23/06/2023 của Quốc hội Nước Cộng Hòa Xã Hội Chủ Nghĩa Việt Nam</w:t>
      </w:r>
    </w:p>
    <w:p>
      <w:pPr>
        <w:spacing w:after="60" w:before="0" w:line="276" w:lineRule="auto"/>
        <w:jc w:val="both"/>
      </w:pPr>
      <w:r>
        <w:rPr>
          <w:rFonts w:ascii="Times New Roman" w:hAnsi="Times New Roman"/>
          <w:b w:val="0"/>
          <w:i/>
          <w:sz w:val="24"/>
          <w:u w:val="none"/>
        </w:rPr>
        <w:t>- Căn cứ nhu cầu và khả năng của hai bên.</w:t>
      </w:r>
    </w:p>
    <w:p>
      <w:pPr>
        <w:spacing w:after="200" w:before="120" w:line="276" w:lineRule="auto"/>
        <w:jc w:val="both"/>
      </w:pPr>
      <w:r>
        <w:rPr>
          <w:rFonts w:ascii="Times New Roman" w:hAnsi="Times New Roman"/>
          <w:b w:val="0"/>
          <w:i/>
          <w:sz w:val="24"/>
          <w:u w:val="none"/>
        </w:rPr>
        <w:t>Hôm nay, ngày 12 tháng 09 năm 2025 tại trụ sở công ty, Chúng tôi gồm có:</w:t>
      </w:r>
    </w:p>
    <w:p>
      <w:pPr>
        <w:spacing w:after="60" w:before="80" w:line="276" w:lineRule="auto"/>
        <w:jc w:val="both"/>
      </w:pPr>
      <w:r>
        <w:rPr>
          <w:rFonts w:ascii="Times New Roman" w:hAnsi="Times New Roman"/>
          <w:b/>
          <w:i w:val="0"/>
          <w:sz w:val="24"/>
          <w:u w:val="none"/>
        </w:rPr>
        <w:t>Chủ đầu tư (sau đây gọi là Bên A)</w:t>
      </w:r>
    </w:p>
    <w:p>
      <w:pPr>
        <w:spacing w:after="60" w:before="0" w:line="276" w:lineRule="auto"/>
        <w:jc w:val="both"/>
      </w:pPr>
      <w:r>
        <w:rPr>
          <w:rFonts w:ascii="Times New Roman" w:hAnsi="Times New Roman"/>
          <w:b w:val="0"/>
          <w:i w:val="0"/>
          <w:sz w:val="24"/>
          <w:u w:val="none"/>
        </w:rPr>
        <w:t xml:space="preserve">Tên chủ đầu tư: </w:t>
      </w:r>
      <w:r>
        <w:rPr>
          <w:rFonts w:ascii="Times New Roman" w:hAnsi="Times New Roman"/>
          <w:b/>
          <w:i w:val="0"/>
          <w:sz w:val="24"/>
          <w:u w:val="none"/>
        </w:rPr>
        <w:t>CÔNG TY CỔ PHẦN DỆT GIA DỤNG PHONG PHÚ</w:t>
      </w:r>
    </w:p>
    <w:p>
      <w:pPr>
        <w:spacing w:after="60" w:before="0" w:line="276" w:lineRule="auto"/>
        <w:jc w:val="both"/>
      </w:pPr>
      <w:r>
        <w:rPr>
          <w:rFonts w:ascii="Times New Roman" w:hAnsi="Times New Roman"/>
          <w:b w:val="0"/>
          <w:i w:val="0"/>
          <w:sz w:val="24"/>
          <w:u w:val="none"/>
        </w:rPr>
        <w:t>Địa chỉ: Thôn Hạnh Trí, Xã Ninh Sơn, Tỉnh Khánh Hòa, Việt Nam</w:t>
      </w:r>
    </w:p>
    <w:p>
      <w:pPr>
        <w:spacing w:after="60" w:before="0" w:line="276" w:lineRule="auto"/>
        <w:jc w:val="both"/>
      </w:pPr>
      <w:r>
        <w:rPr>
          <w:rFonts w:ascii="Times New Roman" w:hAnsi="Times New Roman"/>
          <w:b w:val="0"/>
          <w:i w:val="0"/>
          <w:sz w:val="24"/>
          <w:u w:val="none"/>
        </w:rPr>
        <w:t>Điện thoại:   0683.855.888</w:t>
      </w:r>
    </w:p>
    <w:tbl>
      <w:tblPr>
        <w:tblW w:type="auto" w:w="0"/>
        <w:jc w:val="center"/>
        <w:tblLayout w:type="fixed"/>
        <w:tblLook w:firstColumn="1" w:firstRow="1" w:lastColumn="0" w:lastRow="0" w:noHBand="0" w:noVBand="1" w:val="04A0"/>
      </w:tblPr>
      <w:tblGrid>
        <w:gridCol w:w="5472"/>
        <w:gridCol w:w="3888"/>
      </w:tblGrid>
      <w:tr>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Đại diện bởi: (Bà) </w:t>
            </w:r>
            <w:r>
              <w:rPr>
                <w:rFonts w:ascii="Times New Roman" w:hAnsi="Times New Roman"/>
                <w:b/>
                <w:i w:val="0"/>
                <w:sz w:val="24"/>
                <w:u w:val="none"/>
              </w:rPr>
              <w:t>BẠCH THỊ KIM CƯƠNG</w:t>
            </w:r>
          </w:p>
        </w:tc>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Chức vụ: </w:t>
            </w:r>
            <w:r>
              <w:rPr>
                <w:rFonts w:ascii="Times New Roman" w:hAnsi="Times New Roman"/>
                <w:b/>
                <w:i w:val="0"/>
                <w:sz w:val="24"/>
                <w:u w:val="none"/>
              </w:rPr>
              <w:t>TỔNG GIÁM ĐỐC</w:t>
            </w:r>
          </w:p>
        </w:tc>
      </w:tr>
    </w:tbl>
    <w:p>
      <w:pPr>
        <w:spacing w:after="160" w:before="40" w:line="276" w:lineRule="auto"/>
        <w:jc w:val="both"/>
      </w:pPr>
      <w:r>
        <w:rPr>
          <w:rFonts w:ascii="Times New Roman" w:hAnsi="Times New Roman"/>
          <w:b w:val="0"/>
          <w:i w:val="0"/>
          <w:sz w:val="24"/>
          <w:u w:val="none"/>
        </w:rPr>
        <w:t>Mã số thuế: 4500470547</w:t>
      </w:r>
    </w:p>
    <w:p>
      <w:pPr>
        <w:spacing w:after="60" w:before="80" w:line="276" w:lineRule="auto"/>
        <w:jc w:val="both"/>
      </w:pPr>
      <w:r>
        <w:rPr>
          <w:rFonts w:ascii="Times New Roman" w:hAnsi="Times New Roman"/>
          <w:b/>
          <w:i w:val="0"/>
          <w:sz w:val="24"/>
          <w:u w:val="none"/>
        </w:rPr>
        <w:t>Nhà thầu (sau đây gọi là Bên B)</w:t>
      </w:r>
    </w:p>
    <w:p>
      <w:pPr>
        <w:spacing w:after="60" w:before="0" w:line="276" w:lineRule="auto"/>
        <w:jc w:val="both"/>
      </w:pPr>
      <w:r>
        <w:rPr>
          <w:rFonts w:ascii="Times New Roman" w:hAnsi="Times New Roman"/>
          <w:b w:val="0"/>
          <w:i w:val="0"/>
          <w:sz w:val="24"/>
          <w:u w:val="none"/>
        </w:rPr>
        <w:t xml:space="preserve">Tên nhà cung cấp: </w:t>
      </w:r>
      <w:r>
        <w:rPr>
          <w:rFonts w:ascii="Times New Roman" w:hAnsi="Times New Roman"/>
          <w:b/>
          <w:i w:val="0"/>
          <w:sz w:val="24"/>
          <w:u w:val="none"/>
        </w:rPr>
        <w:t>CÔNG TY TNHH MTV THƯƠNG MẠI VÀ DỊCH VỤ NGỌC THƠM</w:t>
      </w:r>
    </w:p>
    <w:p>
      <w:pPr>
        <w:spacing w:after="60" w:before="0" w:line="276" w:lineRule="auto"/>
        <w:jc w:val="both"/>
      </w:pPr>
      <w:r>
        <w:rPr>
          <w:rFonts w:ascii="Times New Roman" w:hAnsi="Times New Roman"/>
          <w:b w:val="0"/>
          <w:i w:val="0"/>
          <w:sz w:val="24"/>
          <w:u w:val="none"/>
        </w:rPr>
        <w:t>Địa chỉ: 12/14/18 Đường 49, Khu phố 69, Phường Hiệp Bình, Tp. Hồ Chí Minh, Việt Nam</w:t>
      </w:r>
    </w:p>
    <w:p>
      <w:pPr>
        <w:spacing w:after="60" w:before="0" w:line="276" w:lineRule="auto"/>
        <w:jc w:val="both"/>
      </w:pPr>
      <w:r>
        <w:rPr>
          <w:rFonts w:ascii="Times New Roman" w:hAnsi="Times New Roman"/>
          <w:b w:val="0"/>
          <w:i w:val="0"/>
          <w:sz w:val="24"/>
          <w:u w:val="none"/>
        </w:rPr>
        <w:t>Điện thoại:   086.290.6631</w:t>
      </w:r>
    </w:p>
    <w:tbl>
      <w:tblPr>
        <w:tblW w:type="auto" w:w="0"/>
        <w:jc w:val="center"/>
        <w:tblLayout w:type="fixed"/>
        <w:tblLook w:firstColumn="1" w:firstRow="1" w:lastColumn="0" w:lastRow="0" w:noHBand="0" w:noVBand="1" w:val="04A0"/>
      </w:tblPr>
      <w:tblGrid>
        <w:gridCol w:w="5472"/>
        <w:gridCol w:w="3888"/>
      </w:tblGrid>
      <w:tr>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Đại diện bởi: (Bà) </w:t>
            </w:r>
            <w:r>
              <w:rPr>
                <w:rFonts w:ascii="Times New Roman" w:hAnsi="Times New Roman"/>
                <w:b/>
                <w:i w:val="0"/>
                <w:sz w:val="24"/>
                <w:u w:val="none"/>
              </w:rPr>
              <w:t>TRẦN THỊ THƠM</w:t>
            </w:r>
          </w:p>
        </w:tc>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Chức vụ: </w:t>
            </w:r>
            <w:r>
              <w:rPr>
                <w:rFonts w:ascii="Times New Roman" w:hAnsi="Times New Roman"/>
                <w:b/>
                <w:i w:val="0"/>
                <w:sz w:val="24"/>
                <w:u w:val="none"/>
              </w:rPr>
              <w:t>Chủ tịch Công ty</w:t>
            </w:r>
          </w:p>
        </w:tc>
      </w:tr>
    </w:tbl>
    <w:p>
      <w:pPr>
        <w:spacing w:after="60" w:before="40" w:line="276" w:lineRule="auto"/>
        <w:jc w:val="both"/>
      </w:pPr>
      <w:r>
        <w:rPr>
          <w:rFonts w:ascii="Times New Roman" w:hAnsi="Times New Roman"/>
          <w:b w:val="0"/>
          <w:i w:val="0"/>
          <w:sz w:val="24"/>
          <w:u w:val="none"/>
        </w:rPr>
        <w:t>Mã số thuế:   0309391503</w:t>
      </w:r>
    </w:p>
    <w:p>
      <w:pPr>
        <w:spacing w:after="160" w:before="0" w:line="276" w:lineRule="auto"/>
        <w:jc w:val="both"/>
      </w:pPr>
      <w:r>
        <w:rPr>
          <w:rFonts w:ascii="Times New Roman" w:hAnsi="Times New Roman"/>
          <w:b w:val="0"/>
          <w:i w:val="0"/>
          <w:sz w:val="24"/>
          <w:u w:val="none"/>
        </w:rPr>
        <w:t>Tài khoản số: 072-1-00-510442-0 Tại Ngân hàng Vietcombank chi nhánh Kỳ Đồng</w:t>
      </w:r>
    </w:p>
    <w:p>
      <w:pPr>
        <w:spacing w:after="200" w:before="80" w:line="276" w:lineRule="auto"/>
        <w:jc w:val="both"/>
      </w:pPr>
      <w:r>
        <w:rPr>
          <w:rFonts w:ascii="Times New Roman" w:hAnsi="Times New Roman"/>
          <w:b w:val="0"/>
          <w:i w:val="0"/>
          <w:sz w:val="24"/>
          <w:u w:val="none"/>
        </w:rPr>
        <w:t>Hai bên thỏa thuận ký kết hợp đồng với các nội dung sau:</w:t>
      </w:r>
    </w:p>
    <w:p>
      <w:pPr>
        <w:spacing w:after="60" w:before="120" w:line="276" w:lineRule="auto"/>
        <w:jc w:val="both"/>
      </w:pPr>
      <w:r>
        <w:rPr>
          <w:rFonts w:ascii="Times New Roman" w:hAnsi="Times New Roman"/>
          <w:b/>
          <w:i w:val="0"/>
          <w:sz w:val="24"/>
          <w:u w:val="none"/>
        </w:rPr>
        <w:t>Điều 1. Chi Tiết Hàng Hóa-Số Lượng-Trị Giá</w:t>
      </w:r>
    </w:p>
    <w:p>
      <w:pPr>
        <w:spacing w:after="120" w:before="40" w:line="276" w:lineRule="auto"/>
        <w:jc w:val="both"/>
      </w:pPr>
      <w:r>
        <w:rPr>
          <w:rFonts w:ascii="Times New Roman" w:hAnsi="Times New Roman"/>
          <w:b/>
          <w:i w:val="0"/>
          <w:sz w:val="24"/>
          <w:u w:val="none"/>
        </w:rPr>
        <w:t>1.1 Chi Tiết Hàng Hóa-Số Lượng-Trị Giá</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c>
          <w:tcPr>
            <w:tcW w:type="dxa" w:w="576"/>
            <w:vAlign w:val="center"/>
            <w:tcMar>
              <w:top w:w="60" w:type="dxa"/>
              <w:bottom w:w="60" w:type="dxa"/>
              <w:left w:w="80" w:type="dxa"/>
              <w:right w:w="80" w:type="dxa"/>
            </w:tcMar>
          </w:tcPr>
          <w:p>
            <w:pPr>
              <w:spacing w:after="40" w:before="40" w:line="240" w:lineRule="auto"/>
              <w:jc w:val="center"/>
            </w:pPr>
            <w:r>
              <w:rPr>
                <w:rFonts w:ascii="Times New Roman" w:hAnsi="Times New Roman"/>
                <w:b/>
                <w:i w:val="0"/>
                <w:sz w:val="22"/>
                <w:u w:val="none"/>
              </w:rPr>
              <w:t>TT</w:t>
            </w:r>
          </w:p>
        </w:tc>
        <w:tc>
          <w:tcPr>
            <w:tcW w:type="dxa" w:w="3312"/>
            <w:vAlign w:val="center"/>
            <w:tcMar>
              <w:top w:w="60" w:type="dxa"/>
              <w:bottom w:w="60" w:type="dxa"/>
              <w:left w:w="80" w:type="dxa"/>
              <w:right w:w="80" w:type="dxa"/>
            </w:tcMar>
          </w:tcPr>
          <w:p>
            <w:pPr>
              <w:spacing w:after="40" w:before="40" w:line="240" w:lineRule="auto"/>
              <w:jc w:val="center"/>
            </w:pPr>
            <w:r>
              <w:rPr>
                <w:rFonts w:ascii="Times New Roman" w:hAnsi="Times New Roman"/>
                <w:b/>
                <w:i w:val="0"/>
                <w:sz w:val="22"/>
                <w:u w:val="none"/>
              </w:rPr>
              <w:t>Tên hàng hóa</w:t>
            </w:r>
          </w:p>
        </w:tc>
        <w:tc>
          <w:tcPr>
            <w:tcW w:type="dxa" w:w="1296"/>
            <w:vAlign w:val="center"/>
            <w:tcMar>
              <w:top w:w="60" w:type="dxa"/>
              <w:bottom w:w="60" w:type="dxa"/>
              <w:left w:w="80" w:type="dxa"/>
              <w:right w:w="80" w:type="dxa"/>
            </w:tcMar>
          </w:tcPr>
          <w:p>
            <w:pPr>
              <w:spacing w:after="40" w:before="40" w:line="240" w:lineRule="auto"/>
              <w:jc w:val="center"/>
            </w:pPr>
            <w:r>
              <w:rPr>
                <w:rFonts w:ascii="Times New Roman" w:hAnsi="Times New Roman"/>
                <w:b/>
                <w:i w:val="0"/>
                <w:sz w:val="22"/>
                <w:u w:val="none"/>
              </w:rPr>
              <w:t>Xuất</w:t>
              <w:br/>
              <w:t>xứ</w:t>
            </w:r>
          </w:p>
        </w:tc>
        <w:tc>
          <w:tcPr>
            <w:tcW w:type="dxa" w:w="936"/>
            <w:vAlign w:val="center"/>
            <w:tcMar>
              <w:top w:w="60" w:type="dxa"/>
              <w:bottom w:w="60" w:type="dxa"/>
              <w:left w:w="80" w:type="dxa"/>
              <w:right w:w="80" w:type="dxa"/>
            </w:tcMar>
          </w:tcPr>
          <w:p>
            <w:pPr>
              <w:spacing w:after="40" w:before="40" w:line="240" w:lineRule="auto"/>
              <w:jc w:val="center"/>
            </w:pPr>
            <w:r>
              <w:rPr>
                <w:rFonts w:ascii="Times New Roman" w:hAnsi="Times New Roman"/>
                <w:b/>
                <w:i w:val="0"/>
                <w:sz w:val="22"/>
                <w:u w:val="none"/>
              </w:rPr>
              <w:t>SL</w:t>
              <w:br/>
              <w:t>(Bộ)</w:t>
            </w:r>
          </w:p>
        </w:tc>
        <w:tc>
          <w:tcPr>
            <w:tcW w:type="dxa" w:w="1656"/>
            <w:vAlign w:val="center"/>
            <w:tcMar>
              <w:top w:w="60" w:type="dxa"/>
              <w:bottom w:w="60" w:type="dxa"/>
              <w:left w:w="80" w:type="dxa"/>
              <w:right w:w="80" w:type="dxa"/>
            </w:tcMar>
          </w:tcPr>
          <w:p>
            <w:pPr>
              <w:spacing w:after="40" w:before="40" w:line="240" w:lineRule="auto"/>
              <w:jc w:val="center"/>
            </w:pPr>
            <w:r>
              <w:rPr>
                <w:rFonts w:ascii="Times New Roman" w:hAnsi="Times New Roman"/>
                <w:b/>
                <w:i w:val="0"/>
                <w:sz w:val="22"/>
                <w:u w:val="none"/>
              </w:rPr>
              <w:t>Đơn giá</w:t>
              <w:br/>
              <w:t>(đồng/bộ)</w:t>
            </w:r>
          </w:p>
        </w:tc>
        <w:tc>
          <w:tcPr>
            <w:tcW w:type="dxa" w:w="1584"/>
            <w:vAlign w:val="center"/>
            <w:tcMar>
              <w:top w:w="60" w:type="dxa"/>
              <w:bottom w:w="60" w:type="dxa"/>
              <w:left w:w="80" w:type="dxa"/>
              <w:right w:w="80" w:type="dxa"/>
            </w:tcMar>
          </w:tcPr>
          <w:p>
            <w:pPr>
              <w:spacing w:after="40" w:before="40" w:line="240" w:lineRule="auto"/>
              <w:jc w:val="center"/>
            </w:pPr>
            <w:r>
              <w:rPr>
                <w:rFonts w:ascii="Times New Roman" w:hAnsi="Times New Roman"/>
                <w:b/>
                <w:i w:val="0"/>
                <w:sz w:val="22"/>
                <w:u w:val="none"/>
              </w:rPr>
              <w:t>Thành tiền</w:t>
              <w:br/>
              <w:t>(VND)</w:t>
            </w:r>
          </w:p>
        </w:tc>
      </w:tr>
      <w:tr>
        <w:tc>
          <w:tcPr>
            <w:tcW w:type="dxa" w:w="576"/>
            <w:vAlign w:val="center"/>
            <w:tcMar>
              <w:top w:w="60" w:type="dxa"/>
              <w:bottom w:w="60" w:type="dxa"/>
              <w:left w:w="60" w:type="dxa"/>
              <w:right w:w="60" w:type="dxa"/>
            </w:tcMar>
          </w:tcPr>
          <w:p>
            <w:pPr>
              <w:jc w:val="center"/>
            </w:pPr>
            <w:r>
              <w:rPr>
                <w:rFonts w:ascii="Times New Roman" w:hAnsi="Times New Roman"/>
                <w:b w:val="0"/>
                <w:i w:val="0"/>
                <w:sz w:val="22"/>
                <w:u w:val="none"/>
              </w:rPr>
              <w:t>1</w:t>
            </w:r>
          </w:p>
        </w:tc>
        <w:tc>
          <w:tcPr>
            <w:tcW w:type="dxa" w:w="3312"/>
            <w:vAlign w:val="top"/>
            <w:tcMar>
              <w:top w:w="60" w:type="dxa"/>
              <w:bottom w:w="60" w:type="dxa"/>
              <w:left w:w="80" w:type="dxa"/>
              <w:right w:w="80" w:type="dxa"/>
            </w:tcMar>
          </w:tcPr>
          <w:p>
            <w:pPr>
              <w:spacing w:after="40" w:before="40" w:line="276" w:lineRule="auto"/>
              <w:jc w:val="left"/>
            </w:pPr>
            <w:r>
              <w:rPr>
                <w:rFonts w:ascii="Times New Roman" w:hAnsi="Times New Roman"/>
                <w:b w:val="0"/>
                <w:i w:val="0"/>
                <w:sz w:val="22"/>
                <w:u w:val="none"/>
              </w:rPr>
              <w:t>Máy cắt ngang tự động</w:t>
              <w:br/>
              <w:t>-   Model: HT-HQ2000</w:t>
              <w:br/>
              <w:t>-   Nhãn hiệu: Hengtai</w:t>
              <w:br/>
              <w:t>-   Năm sản xuất: 2025</w:t>
              <w:br/>
              <w:t>-   Chất lượng: mới 100%</w:t>
            </w:r>
          </w:p>
        </w:tc>
        <w:tc>
          <w:tcPr>
            <w:tcW w:type="dxa" w:w="1296"/>
            <w:vAlign w:val="center"/>
            <w:tcMar>
              <w:top w:w="60" w:type="dxa"/>
              <w:bottom w:w="60" w:type="dxa"/>
              <w:left w:w="60" w:type="dxa"/>
              <w:right w:w="60" w:type="dxa"/>
            </w:tcMar>
          </w:tcPr>
          <w:p>
            <w:pPr>
              <w:jc w:val="center"/>
            </w:pPr>
            <w:r>
              <w:rPr>
                <w:rFonts w:ascii="Times New Roman" w:hAnsi="Times New Roman"/>
                <w:b w:val="0"/>
                <w:i w:val="0"/>
                <w:sz w:val="22"/>
                <w:u w:val="none"/>
              </w:rPr>
              <w:t>Trung</w:t>
              <w:br/>
              <w:t>Quốc</w:t>
            </w:r>
          </w:p>
        </w:tc>
        <w:tc>
          <w:tcPr>
            <w:tcW w:type="dxa" w:w="936"/>
            <w:vAlign w:val="center"/>
            <w:tcMar>
              <w:top w:w="60" w:type="dxa"/>
              <w:bottom w:w="60" w:type="dxa"/>
              <w:left w:w="60" w:type="dxa"/>
              <w:right w:w="60" w:type="dxa"/>
            </w:tcMar>
          </w:tcPr>
          <w:p>
            <w:pPr>
              <w:jc w:val="center"/>
            </w:pPr>
            <w:r>
              <w:rPr>
                <w:rFonts w:ascii="Times New Roman" w:hAnsi="Times New Roman"/>
                <w:b w:val="0"/>
                <w:i w:val="0"/>
                <w:sz w:val="22"/>
                <w:u w:val="none"/>
              </w:rPr>
              <w:t>01</w:t>
            </w:r>
          </w:p>
        </w:tc>
        <w:tc>
          <w:tcPr>
            <w:tcW w:type="dxa" w:w="1656"/>
            <w:vAlign w:val="center"/>
            <w:tcMar>
              <w:top w:w="60" w:type="dxa"/>
              <w:bottom w:w="60" w:type="dxa"/>
              <w:left w:w="60" w:type="dxa"/>
              <w:right w:w="80" w:type="dxa"/>
            </w:tcMar>
          </w:tcPr>
          <w:p>
            <w:pPr>
              <w:jc w:val="right"/>
            </w:pPr>
            <w:r>
              <w:rPr>
                <w:rFonts w:ascii="Times New Roman" w:hAnsi="Times New Roman"/>
                <w:b w:val="0"/>
                <w:i w:val="0"/>
                <w:sz w:val="22"/>
                <w:u w:val="none"/>
              </w:rPr>
              <w:t>625.000.000</w:t>
            </w:r>
          </w:p>
        </w:tc>
        <w:tc>
          <w:tcPr>
            <w:tcW w:type="dxa" w:w="1584"/>
            <w:vAlign w:val="center"/>
            <w:tcMar>
              <w:top w:w="60" w:type="dxa"/>
              <w:bottom w:w="60" w:type="dxa"/>
              <w:left w:w="60" w:type="dxa"/>
              <w:right w:w="80" w:type="dxa"/>
            </w:tcMar>
          </w:tcPr>
          <w:p>
            <w:pPr>
              <w:jc w:val="right"/>
            </w:pPr>
            <w:r>
              <w:rPr>
                <w:rFonts w:ascii="Times New Roman" w:hAnsi="Times New Roman"/>
                <w:b w:val="0"/>
                <w:i w:val="0"/>
                <w:sz w:val="22"/>
                <w:u w:val="none"/>
              </w:rPr>
              <w:t>625.000.000</w:t>
            </w:r>
          </w:p>
        </w:tc>
      </w:tr>
      <w:tr>
        <w:tc>
          <w:tcPr>
            <w:tcW w:type="dxa" w:w="7776"/>
            <w:gridSpan w:val="5"/>
            <w:vAlign w:val="center"/>
            <w:tcMar>
              <w:top w:w="60" w:type="dxa"/>
              <w:bottom w:w="60" w:type="dxa"/>
              <w:left w:w="80" w:type="dxa"/>
              <w:right w:w="80" w:type="dxa"/>
            </w:tcMar>
          </w:tcPr>
          <w:p>
            <w:pPr>
              <w:jc w:val="center"/>
            </w:pPr>
            <w:r>
              <w:rPr>
                <w:rFonts w:ascii="Times New Roman" w:hAnsi="Times New Roman"/>
                <w:b/>
                <w:i w:val="0"/>
                <w:sz w:val="22"/>
                <w:u w:val="none"/>
              </w:rPr>
              <w:t>CỘNG</w:t>
            </w:r>
          </w:p>
        </w:tc>
        <w:tc>
          <w:tcPr>
            <w:tcW w:type="dxa" w:w="1584"/>
            <w:vAlign w:val="center"/>
            <w:tcMar>
              <w:top w:w="60" w:type="dxa"/>
              <w:bottom w:w="60" w:type="dxa"/>
              <w:left w:w="60" w:type="dxa"/>
              <w:right w:w="80" w:type="dxa"/>
            </w:tcMar>
          </w:tcPr>
          <w:p>
            <w:pPr>
              <w:jc w:val="right"/>
            </w:pPr>
            <w:r>
              <w:rPr>
                <w:rFonts w:ascii="Times New Roman" w:hAnsi="Times New Roman"/>
                <w:b/>
                <w:i w:val="0"/>
                <w:sz w:val="22"/>
                <w:u w:val="none"/>
              </w:rPr>
              <w:t>625.000.000</w:t>
            </w:r>
          </w:p>
        </w:tc>
      </w:tr>
      <w:tr>
        <w:tc>
          <w:tcPr>
            <w:tcW w:type="dxa" w:w="7776"/>
            <w:gridSpan w:val="5"/>
            <w:vAlign w:val="center"/>
            <w:tcMar>
              <w:top w:w="60" w:type="dxa"/>
              <w:bottom w:w="60" w:type="dxa"/>
              <w:left w:w="80" w:type="dxa"/>
              <w:right w:w="80" w:type="dxa"/>
            </w:tcMar>
          </w:tcPr>
          <w:p>
            <w:pPr>
              <w:jc w:val="center"/>
            </w:pPr>
            <w:r>
              <w:rPr>
                <w:rFonts w:ascii="Times New Roman" w:hAnsi="Times New Roman"/>
                <w:b/>
                <w:i w:val="0"/>
                <w:sz w:val="22"/>
                <w:u w:val="none"/>
              </w:rPr>
              <w:t>THUẾ GTGT 8%</w:t>
            </w:r>
          </w:p>
        </w:tc>
        <w:tc>
          <w:tcPr>
            <w:tcW w:type="dxa" w:w="1584"/>
            <w:vAlign w:val="center"/>
            <w:tcMar>
              <w:top w:w="60" w:type="dxa"/>
              <w:bottom w:w="60" w:type="dxa"/>
              <w:left w:w="60" w:type="dxa"/>
              <w:right w:w="80" w:type="dxa"/>
            </w:tcMar>
          </w:tcPr>
          <w:p>
            <w:pPr>
              <w:jc w:val="right"/>
            </w:pPr>
            <w:r>
              <w:rPr>
                <w:rFonts w:ascii="Times New Roman" w:hAnsi="Times New Roman"/>
                <w:b/>
                <w:i w:val="0"/>
                <w:sz w:val="22"/>
                <w:u w:val="none"/>
              </w:rPr>
              <w:t>50.000.000</w:t>
            </w:r>
          </w:p>
        </w:tc>
      </w:tr>
      <w:tr>
        <w:tc>
          <w:tcPr>
            <w:tcW w:type="dxa" w:w="7776"/>
            <w:gridSpan w:val="5"/>
            <w:vAlign w:val="center"/>
            <w:tcMar>
              <w:top w:w="60" w:type="dxa"/>
              <w:bottom w:w="60" w:type="dxa"/>
              <w:left w:w="80" w:type="dxa"/>
              <w:right w:w="80" w:type="dxa"/>
            </w:tcMar>
          </w:tcPr>
          <w:p>
            <w:pPr>
              <w:jc w:val="center"/>
            </w:pPr>
            <w:r>
              <w:rPr>
                <w:rFonts w:ascii="Times New Roman" w:hAnsi="Times New Roman"/>
                <w:b/>
                <w:i w:val="0"/>
                <w:sz w:val="22"/>
                <w:u w:val="none"/>
              </w:rPr>
              <w:t>Tổng cộng đã bao gồm thuế GTGT 8%</w:t>
            </w:r>
          </w:p>
        </w:tc>
        <w:tc>
          <w:tcPr>
            <w:tcW w:type="dxa" w:w="1584"/>
            <w:vAlign w:val="center"/>
            <w:tcMar>
              <w:top w:w="60" w:type="dxa"/>
              <w:bottom w:w="60" w:type="dxa"/>
              <w:left w:w="60" w:type="dxa"/>
              <w:right w:w="80" w:type="dxa"/>
            </w:tcMar>
          </w:tcPr>
          <w:p>
            <w:pPr>
              <w:jc w:val="right"/>
            </w:pPr>
            <w:r>
              <w:rPr>
                <w:rFonts w:ascii="Times New Roman" w:hAnsi="Times New Roman"/>
                <w:b/>
                <w:i w:val="0"/>
                <w:sz w:val="22"/>
                <w:u w:val="none"/>
              </w:rPr>
              <w:t>675.000.000</w:t>
            </w:r>
          </w:p>
        </w:tc>
      </w:tr>
      <w:tr>
        <w:tc>
          <w:tcPr>
            <w:tcW w:type="dxa" w:w="9360"/>
            <w:gridSpan w:val="6"/>
            <w:vAlign w:val="center"/>
            <w:tcMar>
              <w:top w:w="60" w:type="dxa"/>
              <w:bottom w:w="60" w:type="dxa"/>
              <w:left w:w="80" w:type="dxa"/>
              <w:right w:w="80" w:type="dxa"/>
            </w:tcMar>
          </w:tcPr>
          <w:p>
            <w:pPr>
              <w:spacing w:after="80" w:before="80"/>
              <w:jc w:val="center"/>
            </w:pPr>
            <w:r>
              <w:rPr>
                <w:rFonts w:ascii="Times New Roman" w:hAnsi="Times New Roman"/>
                <w:b w:val="0"/>
                <w:i/>
                <w:sz w:val="22"/>
                <w:u w:val="none"/>
              </w:rPr>
              <w:t>Bằng chữ: Sáu trăm bảy mươi lăm triệu đồng chẵn./.</w:t>
            </w:r>
          </w:p>
        </w:tc>
      </w:tr>
    </w:tbl>
    <w:p>
      <w:pPr>
        <w:spacing w:after="40" w:before="120" w:line="276" w:lineRule="auto"/>
        <w:jc w:val="both"/>
      </w:pPr>
      <w:r>
        <w:rPr>
          <w:rFonts w:ascii="Times New Roman" w:hAnsi="Times New Roman"/>
          <w:b/>
          <w:i/>
          <w:sz w:val="22"/>
          <w:u w:val="none"/>
        </w:rPr>
        <w:t>Ghi chú:</w:t>
      </w:r>
    </w:p>
    <w:p>
      <w:pPr>
        <w:spacing w:after="40" w:before="0" w:line="276" w:lineRule="auto"/>
        <w:jc w:val="both"/>
      </w:pPr>
      <w:r>
        <w:rPr>
          <w:rFonts w:ascii="Times New Roman" w:hAnsi="Times New Roman"/>
          <w:b w:val="0"/>
          <w:i/>
          <w:sz w:val="22"/>
          <w:u w:val="none"/>
        </w:rPr>
        <w:t>- Thuế GTGT chính thức sẽ được áp dụng theo Luật Thuế Việt Nam tại thời điểm phát hành hóa đơn GTGT. Tổng giá trị hợp đồng chính thức sẽ được tính bằng VND đã bao gồm thuế GTGT căn cứ theo hóa đơn đã phát hành theo quy định của Pháp luật;</w:t>
      </w:r>
    </w:p>
    <w:p>
      <w:pPr>
        <w:spacing w:after="40" w:before="0" w:line="276" w:lineRule="auto"/>
        <w:jc w:val="both"/>
      </w:pPr>
      <w:r>
        <w:rPr>
          <w:rFonts w:ascii="Times New Roman" w:hAnsi="Times New Roman"/>
          <w:b w:val="0"/>
          <w:i/>
          <w:sz w:val="22"/>
          <w:u w:val="none"/>
        </w:rPr>
        <w:t>- Giá trên là giá đã bao gồm bao gồm thuế GTGT 8%, đã bao gồm chi phí hướng dẫn lắp đặt và hướng dẫn vận hành, chuyển giao thiết bị.</w:t>
      </w:r>
    </w:p>
    <w:p>
      <w:pPr>
        <w:spacing w:after="40" w:before="0" w:line="276" w:lineRule="auto"/>
        <w:jc w:val="both"/>
      </w:pPr>
      <w:r>
        <w:rPr>
          <w:rFonts w:ascii="Times New Roman" w:hAnsi="Times New Roman"/>
          <w:b w:val="0"/>
          <w:i/>
          <w:sz w:val="22"/>
          <w:u w:val="none"/>
        </w:rPr>
        <w:t>- Chi tiết thiết bị: Tên,nước sản xuất, năm sản xuất, các đặc tính kỹ thuật ...sẽ được nêu chi tiết trong phụ lục hợp đồng đính kèm này.</w:t>
      </w:r>
    </w:p>
    <w:p>
      <w:pPr>
        <w:spacing w:after="60" w:before="120" w:line="276" w:lineRule="auto"/>
        <w:jc w:val="both"/>
      </w:pPr>
      <w:r>
        <w:rPr>
          <w:rFonts w:ascii="Times New Roman" w:hAnsi="Times New Roman"/>
          <w:b/>
          <w:i w:val="0"/>
          <w:sz w:val="24"/>
          <w:u w:val="none"/>
        </w:rPr>
        <w:t>Điều 2. Thời gian thực hiện hợp đồng</w:t>
      </w:r>
    </w:p>
    <w:p>
      <w:pPr>
        <w:spacing w:after="120" w:before="0" w:line="276" w:lineRule="auto"/>
        <w:jc w:val="both"/>
      </w:pPr>
      <w:r>
        <w:rPr>
          <w:rFonts w:ascii="Times New Roman" w:hAnsi="Times New Roman"/>
          <w:b w:val="0"/>
          <w:i w:val="0"/>
          <w:sz w:val="24"/>
          <w:u w:val="none"/>
        </w:rPr>
        <w:t>Thời gian thực hiện hợp đồng: Trong vòng 60 ngày, kể từ khi 02 bên ký hợp đồng.</w:t>
      </w:r>
    </w:p>
    <w:p>
      <w:pPr>
        <w:spacing w:after="60" w:before="80" w:line="276" w:lineRule="auto"/>
        <w:jc w:val="both"/>
      </w:pPr>
      <w:r>
        <w:rPr>
          <w:rFonts w:ascii="Times New Roman" w:hAnsi="Times New Roman"/>
          <w:b/>
          <w:i w:val="0"/>
          <w:sz w:val="24"/>
          <w:u w:val="none"/>
        </w:rPr>
        <w:t>Điều 3. Trách nhiệm của Bên A</w:t>
      </w:r>
    </w:p>
    <w:p>
      <w:pPr>
        <w:spacing w:after="120" w:before="0" w:line="276" w:lineRule="auto"/>
        <w:jc w:val="both"/>
      </w:pPr>
      <w:r>
        <w:rPr>
          <w:rFonts w:ascii="Times New Roman" w:hAnsi="Times New Roman"/>
          <w:b w:val="0"/>
          <w:i w:val="0"/>
          <w:sz w:val="24"/>
          <w:u w:val="none"/>
        </w:rPr>
        <w:t>Bên A cam kết thanh toán cho Bên B theo giá hợp đồng và phương thức thanh toán nêu tại Điều 5 của hợp đồng này cũng như thực hiện đầy đủ nghĩa vụ và trách nhiệm khác được nêu trong hợp đồng.</w:t>
      </w:r>
    </w:p>
    <w:p>
      <w:pPr>
        <w:spacing w:after="60" w:before="80" w:line="276" w:lineRule="auto"/>
        <w:jc w:val="both"/>
      </w:pPr>
      <w:r>
        <w:rPr>
          <w:rFonts w:ascii="Times New Roman" w:hAnsi="Times New Roman"/>
          <w:b/>
          <w:i w:val="0"/>
          <w:sz w:val="24"/>
          <w:u w:val="none"/>
        </w:rPr>
        <w:t>Điều 4. Trách nhiệm của Bên B</w:t>
      </w:r>
    </w:p>
    <w:p>
      <w:pPr>
        <w:spacing w:after="120" w:before="0" w:line="276" w:lineRule="auto"/>
        <w:jc w:val="both"/>
      </w:pPr>
      <w:r>
        <w:rPr>
          <w:rFonts w:ascii="Times New Roman" w:hAnsi="Times New Roman"/>
          <w:b w:val="0"/>
          <w:i w:val="0"/>
          <w:sz w:val="24"/>
          <w:u w:val="none"/>
        </w:rPr>
        <w:t>Bên B cam kết cung cấp cho Bên A đầy đủ các loại hàng hóa và dịch vụ liên quan như nêu tại Điều 1 của hợp đồng này, đồng thời cam kết thực hiện đầy đủ các nghĩa vụ và trách nhiệm được nêu trong hợp đồng.</w:t>
      </w:r>
    </w:p>
    <w:p>
      <w:pPr>
        <w:spacing w:after="60" w:before="80" w:line="276" w:lineRule="auto"/>
        <w:jc w:val="both"/>
      </w:pPr>
      <w:r>
        <w:rPr>
          <w:rFonts w:ascii="Times New Roman" w:hAnsi="Times New Roman"/>
          <w:b/>
          <w:i w:val="0"/>
          <w:sz w:val="24"/>
          <w:u w:val="none"/>
        </w:rPr>
        <w:t>Điều 5. Giá hợp đồng và phương thức thanh toán</w:t>
      </w:r>
    </w:p>
    <w:p>
      <w:pPr>
        <w:spacing w:after="40" w:before="0" w:line="276" w:lineRule="auto"/>
        <w:jc w:val="both"/>
      </w:pPr>
      <w:r>
        <w:rPr>
          <w:rFonts w:ascii="Times New Roman" w:hAnsi="Times New Roman"/>
          <w:b w:val="0"/>
          <w:i w:val="0"/>
          <w:sz w:val="24"/>
          <w:u w:val="none"/>
        </w:rPr>
        <w:t>-    Giá chưa thuế                  : 625.000.000 VND</w:t>
      </w:r>
    </w:p>
    <w:p>
      <w:pPr>
        <w:spacing w:after="40" w:before="0" w:line="276" w:lineRule="auto"/>
        <w:jc w:val="both"/>
      </w:pPr>
      <w:r>
        <w:rPr>
          <w:rFonts w:ascii="Times New Roman" w:hAnsi="Times New Roman"/>
          <w:b w:val="0"/>
          <w:i w:val="0"/>
          <w:sz w:val="24"/>
          <w:u w:val="none"/>
        </w:rPr>
        <w:t>-    Thuế VAT 8%                    :   50.000.000 VND</w:t>
      </w:r>
    </w:p>
    <w:p>
      <w:pPr>
        <w:spacing w:after="40" w:before="0" w:line="276" w:lineRule="auto"/>
        <w:jc w:val="both"/>
      </w:pPr>
      <w:r>
        <w:rPr>
          <w:rFonts w:ascii="Times New Roman" w:hAnsi="Times New Roman"/>
          <w:b w:val="0"/>
          <w:i w:val="0"/>
          <w:sz w:val="24"/>
          <w:u w:val="none"/>
        </w:rPr>
        <w:t>-    Giá bao gồm thuế            : 675.000.000 VND</w:t>
      </w:r>
    </w:p>
    <w:p>
      <w:pPr>
        <w:spacing w:after="40" w:before="40" w:line="276" w:lineRule="auto"/>
        <w:jc w:val="both"/>
      </w:pPr>
      <w:r>
        <w:rPr>
          <w:rFonts w:ascii="Times New Roman" w:hAnsi="Times New Roman"/>
          <w:b w:val="0"/>
          <w:i w:val="0"/>
          <w:sz w:val="24"/>
          <w:u w:val="none"/>
        </w:rPr>
        <w:t>Tổng giá trị hợp đồng là : 675.000.000 đồng giá trên đã bao gồm thuế VAT.</w:t>
      </w:r>
    </w:p>
    <w:p>
      <w:pPr>
        <w:spacing w:after="80" w:before="0" w:line="276" w:lineRule="auto"/>
        <w:jc w:val="both"/>
      </w:pPr>
      <w:r>
        <w:rPr>
          <w:rFonts w:ascii="Times New Roman" w:hAnsi="Times New Roman"/>
          <w:b/>
          <w:i/>
          <w:sz w:val="24"/>
          <w:u w:val="none"/>
        </w:rPr>
        <w:t>Bằng chữ: Sáu trăm bảy mươi lăm triệu đồng chẵn./.</w:t>
      </w:r>
    </w:p>
    <w:p>
      <w:pPr>
        <w:spacing w:after="60" w:before="80" w:line="276" w:lineRule="auto"/>
        <w:jc w:val="both"/>
      </w:pPr>
      <w:r>
        <w:rPr>
          <w:rFonts w:ascii="Times New Roman" w:hAnsi="Times New Roman"/>
          <w:b w:val="0"/>
          <w:i/>
          <w:sz w:val="24"/>
          <w:u w:val="none"/>
        </w:rPr>
        <w:t>Phương thức thanh toán:</w:t>
      </w:r>
    </w:p>
    <w:p>
      <w:pPr>
        <w:spacing w:after="60" w:before="0" w:line="276" w:lineRule="auto"/>
        <w:jc w:val="both"/>
      </w:pPr>
      <w:r>
        <w:rPr>
          <w:rFonts w:ascii="Times New Roman" w:hAnsi="Times New Roman"/>
          <w:b w:val="0"/>
          <w:i w:val="0"/>
          <w:sz w:val="24"/>
          <w:u w:val="none"/>
        </w:rPr>
        <w:t>-   Hình thức thanh toán: 100% chuyển khoản, chia thành 03 đợt.</w:t>
      </w:r>
    </w:p>
    <w:p>
      <w:pPr>
        <w:spacing w:after="60" w:before="0" w:line="276" w:lineRule="auto"/>
        <w:jc w:val="both"/>
      </w:pPr>
      <w:r>
        <w:rPr>
          <w:rFonts w:ascii="Times New Roman" w:hAnsi="Times New Roman"/>
          <w:b w:val="0"/>
          <w:i w:val="0"/>
          <w:sz w:val="24"/>
          <w:u w:val="none"/>
        </w:rPr>
        <w:t>-   Thời hạn thanh toán:</w:t>
      </w:r>
    </w:p>
    <w:p>
      <w:pPr>
        <w:spacing w:after="60" w:before="0" w:line="276" w:lineRule="auto"/>
        <w:ind w:left="576"/>
        <w:jc w:val="both"/>
      </w:pPr>
      <w:r>
        <w:rPr>
          <w:rFonts w:ascii="Times New Roman" w:hAnsi="Times New Roman"/>
          <w:b w:val="0"/>
          <w:i w:val="0"/>
          <w:sz w:val="24"/>
          <w:u w:val="none"/>
        </w:rPr>
        <w:t>✓   Đợt 1: Đặt cọc 30% giá trị hợp đồng trong vòng 07 ngày kể từ ngày ký hợp đồng.</w:t>
      </w:r>
    </w:p>
    <w:p>
      <w:pPr>
        <w:spacing w:after="60" w:before="0" w:line="276" w:lineRule="auto"/>
        <w:ind w:left="576"/>
        <w:jc w:val="both"/>
      </w:pPr>
      <w:r>
        <w:rPr>
          <w:rFonts w:ascii="Times New Roman" w:hAnsi="Times New Roman"/>
          <w:b w:val="0"/>
          <w:i w:val="0"/>
          <w:sz w:val="24"/>
          <w:u w:val="none"/>
        </w:rPr>
        <w:t>✓   Đợt 2: Thanh toán 50% giá trị hợp đồng trong vòng 07 ngày làm việc khi giao hàng và ký biên bản xác nhận của người có thẩm quyền của 02 bên.</w:t>
      </w:r>
    </w:p>
    <w:p>
      <w:pPr>
        <w:spacing w:after="60" w:before="0" w:line="276" w:lineRule="auto"/>
        <w:ind w:left="576"/>
        <w:jc w:val="both"/>
      </w:pPr>
      <w:r>
        <w:rPr>
          <w:rFonts w:ascii="Times New Roman" w:hAnsi="Times New Roman"/>
          <w:b w:val="0"/>
          <w:i w:val="0"/>
          <w:sz w:val="24"/>
          <w:u w:val="none"/>
        </w:rPr>
        <w:t>✓   Đợt 3: Thanh toán 20% còn lại sau khi 02 bên ký biên bản nghiệm thu và bàn giao, bên B mở chứng thư bảo lãnh bảo hành trị giá 5% giá trị hợp đồng (không bao gồm thuế GTGT), hiệu lực trong vòng 12 tháng kể từ ngày ký biên bản nghiệm thu.</w:t>
      </w:r>
    </w:p>
    <w:p>
      <w:pPr>
        <w:spacing w:after="120" w:before="120" w:line="276" w:lineRule="auto"/>
        <w:jc w:val="both"/>
      </w:pPr>
      <w:r>
        <w:rPr>
          <w:rFonts w:ascii="Times New Roman" w:hAnsi="Times New Roman"/>
          <w:b/>
          <w:i w:val="0"/>
          <w:sz w:val="24"/>
          <w:u w:val="none"/>
        </w:rPr>
        <w:t>Điều 6. Loại hợp đồng: Trọn gói</w:t>
      </w:r>
    </w:p>
    <w:p>
      <w:pPr>
        <w:spacing w:after="60" w:before="80" w:line="276" w:lineRule="auto"/>
        <w:jc w:val="both"/>
      </w:pPr>
      <w:r>
        <w:rPr>
          <w:rFonts w:ascii="Times New Roman" w:hAnsi="Times New Roman"/>
          <w:b/>
          <w:i w:val="0"/>
          <w:sz w:val="24"/>
          <w:u w:val="none"/>
        </w:rPr>
        <w:t>Điều 7. Hiệu chỉnh, bổ sung hợp đồng</w:t>
      </w:r>
    </w:p>
    <w:p>
      <w:pPr>
        <w:spacing w:after="60" w:before="0" w:line="276" w:lineRule="auto"/>
        <w:jc w:val="both"/>
      </w:pPr>
      <w:r>
        <w:rPr>
          <w:rFonts w:ascii="Times New Roman" w:hAnsi="Times New Roman"/>
          <w:b w:val="0"/>
          <w:i w:val="0"/>
          <w:sz w:val="24"/>
          <w:u w:val="none"/>
        </w:rPr>
        <w:t>1. Việc hiệu chỉnh, bổ sung hợp đồng có thể được thực hiện trong các trường hợp cụ thể và được hai bên thỏa thuận bằng văn bản.</w:t>
      </w:r>
    </w:p>
    <w:p>
      <w:pPr>
        <w:spacing w:after="120" w:before="0" w:line="276" w:lineRule="auto"/>
        <w:jc w:val="both"/>
      </w:pPr>
      <w:r>
        <w:rPr>
          <w:rFonts w:ascii="Times New Roman" w:hAnsi="Times New Roman"/>
          <w:b w:val="0"/>
          <w:i w:val="0"/>
          <w:sz w:val="24"/>
          <w:u w:val="none"/>
        </w:rPr>
        <w:t>2. Trường hợp phát sinh các hạng mục công việc ngoài phạm vi hợp đồng, Bên A và Bên B sẽ tiến hành thương thảo để làm cơ sở ký kết phụ lục bổ sung hợp đồng.</w:t>
      </w:r>
    </w:p>
    <w:p>
      <w:pPr>
        <w:spacing w:after="60" w:before="80" w:line="276" w:lineRule="auto"/>
        <w:jc w:val="both"/>
      </w:pPr>
      <w:r>
        <w:rPr>
          <w:rFonts w:ascii="Times New Roman" w:hAnsi="Times New Roman"/>
          <w:b/>
          <w:i w:val="0"/>
          <w:sz w:val="24"/>
          <w:u w:val="none"/>
        </w:rPr>
        <w:t>Điều 8. Phạt vi phạm hợp đồng</w:t>
      </w:r>
    </w:p>
    <w:p>
      <w:pPr>
        <w:spacing w:after="60" w:before="0" w:line="276" w:lineRule="auto"/>
        <w:jc w:val="both"/>
      </w:pPr>
      <w:r>
        <w:rPr>
          <w:rFonts w:ascii="Times New Roman" w:hAnsi="Times New Roman"/>
          <w:b w:val="0"/>
          <w:i w:val="0"/>
          <w:sz w:val="24"/>
          <w:u w:val="none"/>
        </w:rPr>
        <w:t>1. Trong trường hợp Bên A thanh toán chậm quá 30 ngày kể từ ngày đến hạn thì bên A phải trả phần tiền trả chậm với lãi suất 1.5%/tháng/số tiền chậm trả được tính trên số ngày chậm trả (kể từ ngày đến hạn phải trả cho đến ngày trả trên thực tế) nhưng không vượt quá 5% giá trị hợp đồng.</w:t>
      </w:r>
    </w:p>
    <w:p>
      <w:pPr>
        <w:spacing w:after="60" w:before="0" w:line="276" w:lineRule="auto"/>
        <w:jc w:val="both"/>
      </w:pPr>
      <w:r>
        <w:rPr>
          <w:rFonts w:ascii="Times New Roman" w:hAnsi="Times New Roman"/>
          <w:b w:val="0"/>
          <w:i w:val="0"/>
          <w:sz w:val="24"/>
          <w:u w:val="none"/>
        </w:rPr>
        <w:t>2. Trong trường hợp bên B không giao hàng đúng thời hạn ghi trên hợp đồng không phải vì lý do bất khả kháng (động đất, chiến tranh, cấm vận... và những nguyên nhân không xác định được), bên A có quyền yêu cầu mức bồi thường tương đương với 1.5% giá trị của hàng hóa bị trễ cho mỗi tuần chậm trễ. Mức bồi thường sẽ không quá 5% giá trị hàng hóa bị trễ. Thời gian chậm trễ tối đa là hai (02) tuần làm việc.</w:t>
      </w:r>
    </w:p>
    <w:p>
      <w:pPr>
        <w:spacing w:after="120" w:before="0" w:line="276" w:lineRule="auto"/>
        <w:jc w:val="both"/>
      </w:pPr>
      <w:r>
        <w:rPr>
          <w:rFonts w:ascii="Times New Roman" w:hAnsi="Times New Roman"/>
          <w:b w:val="0"/>
          <w:i w:val="0"/>
          <w:sz w:val="24"/>
          <w:u w:val="none"/>
        </w:rPr>
        <w:t>Quá thời gian này Bên A có quyền hủy bỏ Hợp đồng và từ chối nhận hàng.</w:t>
      </w:r>
    </w:p>
    <w:p>
      <w:pPr>
        <w:spacing w:after="60" w:before="80" w:line="276" w:lineRule="auto"/>
        <w:jc w:val="both"/>
      </w:pPr>
      <w:r>
        <w:rPr>
          <w:rFonts w:ascii="Times New Roman" w:hAnsi="Times New Roman"/>
          <w:b/>
          <w:i w:val="0"/>
          <w:sz w:val="24"/>
          <w:u w:val="none"/>
        </w:rPr>
        <w:t>Điều 9. Chấm dứt hợp đồng</w:t>
      </w:r>
    </w:p>
    <w:p>
      <w:pPr>
        <w:spacing w:after="60" w:before="0" w:line="276" w:lineRule="auto"/>
        <w:jc w:val="both"/>
      </w:pPr>
      <w:r>
        <w:rPr>
          <w:rFonts w:ascii="Times New Roman" w:hAnsi="Times New Roman"/>
          <w:b w:val="0"/>
          <w:i w:val="0"/>
          <w:sz w:val="24"/>
          <w:u w:val="none"/>
        </w:rPr>
        <w:t>1. Bên A hoặc Bên B có thể chấm dứt hợp đồng nếu một trong hai bên có vi phạm cơ bản về hợp đồng như sau:</w:t>
      </w:r>
    </w:p>
    <w:p>
      <w:pPr>
        <w:spacing w:after="40" w:before="0" w:line="276" w:lineRule="auto"/>
        <w:jc w:val="both"/>
      </w:pPr>
      <w:r>
        <w:rPr>
          <w:rFonts w:ascii="Times New Roman" w:hAnsi="Times New Roman"/>
          <w:b w:val="0"/>
          <w:i w:val="0"/>
          <w:sz w:val="24"/>
          <w:u w:val="none"/>
        </w:rPr>
        <w:t>a) Bên B không thực hiện một phần hoặc toàn bộ nội dung công việc theo hợp đồng trong thời hạn đã nêu trong hợp đồng hoặc trong khoảng thời gian đã được Bên A gia hạn;</w:t>
      </w:r>
    </w:p>
    <w:p>
      <w:pPr>
        <w:spacing w:after="40" w:before="0" w:line="276" w:lineRule="auto"/>
        <w:jc w:val="both"/>
      </w:pPr>
      <w:r>
        <w:rPr>
          <w:rFonts w:ascii="Times New Roman" w:hAnsi="Times New Roman"/>
          <w:b w:val="0"/>
          <w:i w:val="0"/>
          <w:sz w:val="24"/>
          <w:u w:val="none"/>
        </w:rPr>
        <w:t>b) Bên B bị phá sản, giải thể;</w:t>
      </w:r>
    </w:p>
    <w:p>
      <w:pPr>
        <w:spacing w:after="60" w:before="0" w:line="276" w:lineRule="auto"/>
        <w:jc w:val="both"/>
      </w:pPr>
      <w:r>
        <w:rPr>
          <w:rFonts w:ascii="Times New Roman" w:hAnsi="Times New Roman"/>
          <w:b w:val="0"/>
          <w:i w:val="0"/>
          <w:sz w:val="24"/>
          <w:u w:val="none"/>
        </w:rPr>
        <w:t>c) Các hành vi khác (nếu có).</w:t>
      </w:r>
    </w:p>
    <w:p>
      <w:pPr>
        <w:spacing w:after="60" w:before="0" w:line="276" w:lineRule="auto"/>
        <w:jc w:val="both"/>
      </w:pPr>
      <w:r>
        <w:rPr>
          <w:rFonts w:ascii="Times New Roman" w:hAnsi="Times New Roman"/>
          <w:b w:val="0"/>
          <w:i w:val="0"/>
          <w:sz w:val="24"/>
          <w:u w:val="none"/>
        </w:rPr>
        <w:t>2. Trong trường hợp Bên A chấm dứt hợp đồng theo điểm a khoản 1 Điều này, Bên A có thể ký hợp đồng với nhà thầu khác để thực hiện phần hợp đồng mà Bên B đã không thực hiện. Bên B sẽ chịu trách nhiệm bồi thường cho Bên A những chi phí vượt trội cho việc thực hiện phần hợp đồng này. Tuy nhiên, Bên B vẫn phải tiếp tục thực hiện phần hợp đồng mà mình đang thực hiện và chịu trách nhiệm bảo hành phần hợp đồng đó.</w:t>
      </w:r>
    </w:p>
    <w:p>
      <w:pPr>
        <w:spacing w:after="120" w:before="0" w:line="276" w:lineRule="auto"/>
        <w:jc w:val="both"/>
      </w:pPr>
      <w:r>
        <w:rPr>
          <w:rFonts w:ascii="Times New Roman" w:hAnsi="Times New Roman"/>
          <w:b w:val="0"/>
          <w:i w:val="0"/>
          <w:sz w:val="24"/>
          <w:u w:val="none"/>
        </w:rPr>
        <w:t>3. Trong trường hợp Bên A chấm dứt hợp đồng theo điểm b khoản 1 Điều này, Bên A không phải chịu bất cứ chi phí đền bù nào. Việc chấm dứt hợp đồng này không làm mất đi quyền lợi của Bên A được hưởng theo quy định của hợp đồng và pháp luật.</w:t>
      </w:r>
    </w:p>
    <w:p>
      <w:pPr>
        <w:spacing w:after="60" w:before="80" w:line="276" w:lineRule="auto"/>
        <w:jc w:val="both"/>
      </w:pPr>
      <w:r>
        <w:rPr>
          <w:rFonts w:ascii="Times New Roman" w:hAnsi="Times New Roman"/>
          <w:b/>
          <w:i w:val="0"/>
          <w:sz w:val="24"/>
          <w:u w:val="none"/>
        </w:rPr>
        <w:t>Điều 10. Tính hợp lệ của hàng hóa</w:t>
      </w:r>
    </w:p>
    <w:p>
      <w:pPr>
        <w:spacing w:after="120" w:before="0" w:line="276" w:lineRule="auto"/>
        <w:jc w:val="both"/>
      </w:pPr>
      <w:r>
        <w:rPr>
          <w:rFonts w:ascii="Times New Roman" w:hAnsi="Times New Roman"/>
          <w:b w:val="0"/>
          <w:i w:val="0"/>
          <w:sz w:val="24"/>
          <w:u w:val="none"/>
        </w:rPr>
        <w:t>Bên B phải nêu rõ xuất xứ của hàng hóa; ký mã hiệu, nhãn mác của sản phẩm và các tài liệu kèm theo để chứng minh tính hợp lệ của hàng hóa và phải tuân thủ các quy định về tiêu chuẩn hiện hành tại quốc gia hoặc vùng lãnh thổ mà hàng hóa có xuất xứ.</w:t>
      </w:r>
    </w:p>
    <w:p>
      <w:pPr>
        <w:spacing w:after="60" w:before="80" w:line="276" w:lineRule="auto"/>
        <w:jc w:val="both"/>
      </w:pPr>
      <w:r>
        <w:rPr>
          <w:rFonts w:ascii="Times New Roman" w:hAnsi="Times New Roman"/>
          <w:b/>
          <w:i w:val="0"/>
          <w:sz w:val="24"/>
          <w:u w:val="none"/>
        </w:rPr>
        <w:t>Điều 11. Cung cấp, vận chuyển, kiểm tra và thử nghiệm hàng hóa</w:t>
      </w:r>
    </w:p>
    <w:p>
      <w:pPr>
        <w:spacing w:after="60" w:before="0" w:line="276" w:lineRule="auto"/>
        <w:jc w:val="both"/>
      </w:pPr>
      <w:r>
        <w:rPr>
          <w:rFonts w:ascii="Times New Roman" w:hAnsi="Times New Roman"/>
          <w:b w:val="0"/>
          <w:i w:val="0"/>
          <w:sz w:val="24"/>
          <w:u w:val="none"/>
        </w:rPr>
        <w:t>1. Bên B phải cung cấp hàng hóa và giao các tài liệu, chứng từ (kèm theo) theo tiến độ nêu trong hợp đồng.</w:t>
      </w:r>
    </w:p>
    <w:p>
      <w:pPr>
        <w:spacing w:after="60" w:before="0" w:line="276" w:lineRule="auto"/>
        <w:jc w:val="both"/>
      </w:pPr>
      <w:r>
        <w:rPr>
          <w:rFonts w:ascii="Times New Roman" w:hAnsi="Times New Roman"/>
          <w:b w:val="0"/>
          <w:i w:val="0"/>
          <w:sz w:val="24"/>
          <w:u w:val="none"/>
        </w:rPr>
        <w:t>2. Yêu cầu về vận chuyển hàng hóa: Hàng hoá phải được vận chuyển đến địa điểm lắp đặt của bên A, tại địa chỉ 48 Tăng Nhơn Phú, phường Tăng Nhơn Phú, Tp. Hồ Chí Minh, Việt Nam, chi phí bốc xếp bên nào bên đấy chịu.</w:t>
      </w:r>
    </w:p>
    <w:p>
      <w:pPr>
        <w:spacing w:after="60" w:before="0" w:line="276" w:lineRule="auto"/>
        <w:jc w:val="both"/>
      </w:pPr>
      <w:r>
        <w:rPr>
          <w:rFonts w:ascii="Times New Roman" w:hAnsi="Times New Roman"/>
          <w:b w:val="0"/>
          <w:i w:val="0"/>
          <w:sz w:val="24"/>
          <w:u w:val="none"/>
        </w:rPr>
        <w:t>3. Bên B cung cấp kỹ thuật viên hướng dẫn lắp đặt cho Bên A, Bên B chịu phí vận chuyển thiết bị từ cảng đến địa điểm lắp đặt; chi phí hướng dẫn lắp đặt và hướng dẫn vận hành thiết bị tại nhà máy; lương và phụ cấp cho chuyên viên kỹ thuật của bên B. Bên A chịu chi phí ăn ở, (bao gồm phí khách sạn và bữa ăn toàn thời gian), chi phí đưa rước từ khách sạn đến nơi lắp đặt (ngược lại) cho kỹ thuật viên của Bên B trong suốt thời gian làm việc tại Xưởng bên A.</w:t>
      </w:r>
    </w:p>
    <w:p>
      <w:pPr>
        <w:spacing w:after="120" w:before="0" w:line="276" w:lineRule="auto"/>
        <w:jc w:val="both"/>
      </w:pPr>
      <w:r>
        <w:rPr>
          <w:rFonts w:ascii="Times New Roman" w:hAnsi="Times New Roman"/>
          <w:b w:val="0"/>
          <w:i w:val="0"/>
          <w:sz w:val="24"/>
          <w:u w:val="none"/>
        </w:rPr>
        <w:t>4. Bên A hoặc đại diện của Bên A có quyền kiểm tra, thử nghiệm hàng hóa được cung cấp để đảm bảo hàng hóa đó có đặc tính kỹ thuật phù hợp với yêu cầu của hợp đồng. Trường hợp hàng hóa không phù hợp với đặc tính kỹ thuật theo hợp đồng thì Bên A có quyền từ chối và Bên B phải có trách nhiệm thay thế hoặc tiến hành những điều chỉnh cần thiết để đáp ứng đúng các yêu cầu về đặc tính kỹ thuật. Trường hợp Bên B không có khả năng thay thế hay điều chỉnh các hàng hóa không phù hợp, Bên A có quyền tổ chức việc thay thế hay điều chỉnh nếu thấy cần thiết, mọi rủi ro và chi phí liên quan do Bên B chịu. Việc thực hiện kiểm tra, thử nghiệm hàng hóa của Bên A không dẫn đến miễn trừ nghĩa vụ bảo hành hay các nghĩa vụ khác theo hợp đồng của Bên B.</w:t>
      </w:r>
    </w:p>
    <w:p>
      <w:pPr>
        <w:spacing w:after="60" w:before="80" w:line="276" w:lineRule="auto"/>
        <w:jc w:val="both"/>
      </w:pPr>
      <w:r>
        <w:rPr>
          <w:rFonts w:ascii="Times New Roman" w:hAnsi="Times New Roman"/>
          <w:b/>
          <w:i w:val="0"/>
          <w:sz w:val="24"/>
          <w:u w:val="none"/>
        </w:rPr>
        <w:t>Điều 12. Bản quyền và bảo hiểm hàng hóa</w:t>
      </w:r>
    </w:p>
    <w:p>
      <w:pPr>
        <w:spacing w:after="60" w:before="0" w:line="276" w:lineRule="auto"/>
        <w:jc w:val="both"/>
      </w:pPr>
      <w:r>
        <w:rPr>
          <w:rFonts w:ascii="Times New Roman" w:hAnsi="Times New Roman"/>
          <w:b w:val="0"/>
          <w:i w:val="0"/>
          <w:sz w:val="24"/>
          <w:u w:val="none"/>
        </w:rPr>
        <w:t>1. Bên B phải hoàn toàn chịu trách nhiệm về mọi thiệt hại phát sinh do việc khiếu nại của bên thứ ba về việc vi phạm bản quyền sở hữu trí tuệ liên quan đến hàng hóa mà Bên B đã cung cấp cho Bên A.</w:t>
      </w:r>
    </w:p>
    <w:p>
      <w:pPr>
        <w:spacing w:after="120" w:before="0" w:line="276" w:lineRule="auto"/>
        <w:jc w:val="both"/>
      </w:pPr>
      <w:r>
        <w:rPr>
          <w:rFonts w:ascii="Times New Roman" w:hAnsi="Times New Roman"/>
          <w:b w:val="0"/>
          <w:i w:val="0"/>
          <w:sz w:val="24"/>
          <w:u w:val="none"/>
        </w:rPr>
        <w:t>2. Hàng hóa do Bên B cung cấp phải được bảo hiểm đầy đủ để bù đắp những mất mát, tổn thất bất thường trong quá trình vận chuyển, lưu kho và giao hàng.</w:t>
      </w:r>
    </w:p>
    <w:p>
      <w:pPr>
        <w:spacing w:after="60" w:before="80" w:line="276" w:lineRule="auto"/>
        <w:jc w:val="both"/>
      </w:pPr>
      <w:r>
        <w:rPr>
          <w:rFonts w:ascii="Times New Roman" w:hAnsi="Times New Roman"/>
          <w:b/>
          <w:i w:val="0"/>
          <w:sz w:val="24"/>
          <w:u w:val="none"/>
        </w:rPr>
        <w:t>Điều 13. Bảo hành</w:t>
      </w:r>
    </w:p>
    <w:p>
      <w:pPr>
        <w:spacing w:after="60" w:before="0" w:line="276" w:lineRule="auto"/>
        <w:jc w:val="both"/>
      </w:pPr>
      <w:r>
        <w:rPr>
          <w:rFonts w:ascii="Times New Roman" w:hAnsi="Times New Roman"/>
          <w:b w:val="0"/>
          <w:i w:val="0"/>
          <w:sz w:val="24"/>
          <w:u w:val="none"/>
        </w:rPr>
        <w:t>1. Bên B đảm rằng hàng hóa được cung cấp theo hợp đồng là mới 100%, chưa sử dụng, đảm bảo chất lượng theo tiêu chuẩn chế tạo và sẽ không có các khuyết tật này sinh dẫn đến bất lợi trong quá trình sử dụng hàng hóa.</w:t>
      </w:r>
    </w:p>
    <w:p>
      <w:pPr>
        <w:spacing w:after="60" w:before="0" w:line="276" w:lineRule="auto"/>
        <w:jc w:val="both"/>
      </w:pPr>
      <w:r>
        <w:rPr>
          <w:rFonts w:ascii="Times New Roman" w:hAnsi="Times New Roman"/>
          <w:b w:val="0"/>
          <w:i w:val="0"/>
          <w:sz w:val="24"/>
          <w:u w:val="none"/>
        </w:rPr>
        <w:t>2. Yêu cầu về bảo hành đối với hàng hóa như sau:</w:t>
      </w:r>
    </w:p>
    <w:p>
      <w:pPr>
        <w:spacing w:after="60" w:before="0" w:line="276" w:lineRule="auto"/>
        <w:ind w:left="576"/>
        <w:jc w:val="both"/>
      </w:pPr>
      <w:r>
        <w:rPr>
          <w:rFonts w:ascii="Times New Roman" w:hAnsi="Times New Roman"/>
          <w:b w:val="0"/>
          <w:i w:val="0"/>
          <w:sz w:val="24"/>
          <w:u w:val="none"/>
        </w:rPr>
        <w:t>✓   Bảo hành 12 tháng kể từ ngày ký biên bản nghiệm thu và bàn giao.</w:t>
      </w:r>
    </w:p>
    <w:p>
      <w:pPr>
        <w:spacing w:after="60" w:before="0" w:line="276" w:lineRule="auto"/>
        <w:ind w:left="576"/>
        <w:jc w:val="both"/>
      </w:pPr>
      <w:r>
        <w:rPr>
          <w:rFonts w:ascii="Times New Roman" w:hAnsi="Times New Roman"/>
          <w:b w:val="0"/>
          <w:i w:val="0"/>
          <w:sz w:val="24"/>
          <w:u w:val="none"/>
        </w:rPr>
        <w:t>✓   Phát hành chứng thư bảo lãnh bảo hành trị giá 5% giá trị hợp đồng, hiệu lực trong vòng 12 tháng kể từ ngày ký biên bản nghiệm thu.</w:t>
      </w:r>
    </w:p>
    <w:p>
      <w:pPr>
        <w:spacing w:after="60" w:before="120" w:line="276" w:lineRule="auto"/>
        <w:jc w:val="both"/>
      </w:pPr>
      <w:r>
        <w:rPr>
          <w:rFonts w:ascii="Times New Roman" w:hAnsi="Times New Roman"/>
          <w:b/>
          <w:i w:val="0"/>
          <w:sz w:val="24"/>
          <w:u w:val="none"/>
        </w:rPr>
        <w:t>Điều 14. Nghiệm thu và bàn giao thiết bị</w:t>
      </w:r>
    </w:p>
    <w:p>
      <w:pPr>
        <w:spacing w:after="60" w:before="0" w:line="276" w:lineRule="auto"/>
        <w:jc w:val="both"/>
      </w:pPr>
      <w:r>
        <w:rPr>
          <w:rFonts w:ascii="Times New Roman" w:hAnsi="Times New Roman"/>
          <w:b w:val="0"/>
          <w:i w:val="0"/>
          <w:sz w:val="24"/>
          <w:u w:val="none"/>
        </w:rPr>
        <w:t>Thời gian nghiệm thu và bàn giao máy móc thiết bị là trong vòng 02 tuần sau khi hoàn thành lắp đặt và bàn giao máy móc thiết bị tại nhà máy ( đại diện các bên xác nhận bằng văn bản), nhưng không vượt quá 03 tuần. 02 Bên sẽ ký biên bản nghiệm thu của người có thẩm quyền.</w:t>
      </w:r>
    </w:p>
    <w:p>
      <w:pPr>
        <w:spacing w:after="120" w:before="0" w:line="276" w:lineRule="auto"/>
        <w:jc w:val="both"/>
      </w:pPr>
      <w:r>
        <w:rPr>
          <w:rFonts w:ascii="Times New Roman" w:hAnsi="Times New Roman"/>
          <w:b w:val="0"/>
          <w:i w:val="0"/>
          <w:sz w:val="24"/>
          <w:u w:val="none"/>
        </w:rPr>
        <w:t>Trong trường hợp thời gian nghiệm thu quá 03 tuần nhưng không phải lỗi của bên B thì mặc nhiên máy móc thiết bị được coi là nghiệm thu và đã bàn giao cho Bên A thành công.</w:t>
      </w:r>
    </w:p>
    <w:p>
      <w:pPr>
        <w:spacing w:after="60" w:before="80" w:line="276" w:lineRule="auto"/>
        <w:jc w:val="both"/>
      </w:pPr>
      <w:r>
        <w:rPr>
          <w:rFonts w:ascii="Times New Roman" w:hAnsi="Times New Roman"/>
          <w:b/>
          <w:i w:val="0"/>
          <w:sz w:val="24"/>
          <w:u w:val="none"/>
        </w:rPr>
        <w:t>Điều 15. Giải quyết tranh chấp</w:t>
      </w:r>
    </w:p>
    <w:p>
      <w:pPr>
        <w:spacing w:after="60" w:before="0" w:line="276" w:lineRule="auto"/>
        <w:jc w:val="both"/>
      </w:pPr>
      <w:r>
        <w:rPr>
          <w:rFonts w:ascii="Times New Roman" w:hAnsi="Times New Roman"/>
          <w:b w:val="0"/>
          <w:i w:val="0"/>
          <w:sz w:val="24"/>
          <w:u w:val="none"/>
        </w:rPr>
        <w:t>1. Bên A và Bên B có trách nhiệm giải quyết các tranh chấp phát sinh giữa hai bên thông qua thương lượng, hòa giải.</w:t>
      </w:r>
    </w:p>
    <w:p>
      <w:pPr>
        <w:spacing w:after="120" w:before="0" w:line="276" w:lineRule="auto"/>
        <w:jc w:val="both"/>
      </w:pPr>
      <w:r>
        <w:rPr>
          <w:rFonts w:ascii="Times New Roman" w:hAnsi="Times New Roman"/>
          <w:b w:val="0"/>
          <w:i w:val="0"/>
          <w:sz w:val="24"/>
          <w:u w:val="none"/>
        </w:rPr>
        <w:t>2. Nếu tranh chấp không thể giải quyết được bằng thương lượng, hòa giải trong thời gian: 30 ngày kể từ ngày phát sinh tranh chấp thì bất kỳ bên nào cũng đều có thể yêu cầu đưa việc tranh chấp ra giải quyết bằng trọng tài kinh tế của thành phố Hồ Chí Minh, phán quyết của trọng tài là phán quyết cuối cùng, chi phí trọng tài do bên thua kiện.</w:t>
      </w:r>
    </w:p>
    <w:p>
      <w:pPr>
        <w:spacing w:after="60" w:before="80" w:line="276" w:lineRule="auto"/>
        <w:jc w:val="both"/>
      </w:pPr>
      <w:r>
        <w:rPr>
          <w:rFonts w:ascii="Times New Roman" w:hAnsi="Times New Roman"/>
          <w:b/>
          <w:i w:val="0"/>
          <w:sz w:val="24"/>
          <w:u w:val="none"/>
        </w:rPr>
        <w:t>Điều 16. Hiệu lực hợp đồng</w:t>
      </w:r>
    </w:p>
    <w:p>
      <w:pPr>
        <w:spacing w:after="60" w:before="0" w:line="276" w:lineRule="auto"/>
        <w:jc w:val="both"/>
      </w:pPr>
      <w:r>
        <w:rPr>
          <w:rFonts w:ascii="Times New Roman" w:hAnsi="Times New Roman"/>
          <w:b w:val="0"/>
          <w:i w:val="0"/>
          <w:sz w:val="24"/>
          <w:u w:val="none"/>
        </w:rPr>
        <w:t>1. Hợp đồng có hiệu lực kể từ ngày ký.</w:t>
      </w:r>
    </w:p>
    <w:p>
      <w:pPr>
        <w:spacing w:after="60" w:before="0" w:line="276" w:lineRule="auto"/>
        <w:jc w:val="both"/>
      </w:pPr>
      <w:r>
        <w:rPr>
          <w:rFonts w:ascii="Times New Roman" w:hAnsi="Times New Roman"/>
          <w:b w:val="0"/>
          <w:i w:val="0"/>
          <w:sz w:val="24"/>
          <w:u w:val="none"/>
        </w:rPr>
        <w:t>2. Hợp đồng hết hiệu lực sau khi hai bên tiến hành thanh lý hợp đồng theo luật định.</w:t>
      </w:r>
    </w:p>
    <w:p>
      <w:pPr>
        <w:spacing w:after="280" w:before="0" w:line="276" w:lineRule="auto"/>
        <w:jc w:val="both"/>
      </w:pPr>
      <w:r>
        <w:rPr>
          <w:rFonts w:ascii="Times New Roman" w:hAnsi="Times New Roman"/>
          <w:b w:val="0"/>
          <w:i w:val="0"/>
          <w:sz w:val="24"/>
          <w:u w:val="none"/>
        </w:rPr>
        <w:t>Hợp đồng được lập thành 06 (sáu) bộ, chủ đầu tư giữ 04 (bốn) bộ, nhà thầu giữ 02 (hai) bộ, các bộ hợp đồng có giá trị pháp lý như nhau.</w:t>
      </w:r>
    </w:p>
    <w:tbl>
      <w:tblPr>
        <w:tblW w:type="auto" w:w="0"/>
        <w:jc w:val="center"/>
        <w:tblLayout w:type="fixed"/>
        <w:tblLook w:firstColumn="1" w:firstRow="1" w:lastColumn="0" w:lastRow="0" w:noHBand="0" w:noVBand="1" w:val="04A0"/>
      </w:tblPr>
      <w:tblGrid>
        <w:gridCol w:w="4680"/>
        <w:gridCol w:w="4680"/>
      </w:tblGrid>
      <w:tr>
        <w:tc>
          <w:tcPr>
            <w:tcW w:type="dxa" w:w="4680"/>
            <w:tcMar>
              <w:top w:w="0" w:type="dxa"/>
              <w:bottom w:w="0" w:type="dxa"/>
              <w:left w:w="0" w:type="dxa"/>
              <w:right w:w="0" w:type="dxa"/>
            </w:tcMar>
          </w:tcPr>
          <w:p>
            <w:pPr>
              <w:jc w:val="center"/>
            </w:pPr>
            <w:r>
              <w:rPr>
                <w:rFonts w:ascii="Times New Roman" w:hAnsi="Times New Roman"/>
                <w:b/>
                <w:i w:val="0"/>
                <w:sz w:val="24"/>
                <w:u w:val="none"/>
              </w:rPr>
              <w:t>ĐẠI DIỆN BÊN A</w:t>
            </w:r>
          </w:p>
        </w:tc>
        <w:tc>
          <w:tcPr>
            <w:tcW w:type="dxa" w:w="4680"/>
            <w:tcMar>
              <w:top w:w="0" w:type="dxa"/>
              <w:bottom w:w="0" w:type="dxa"/>
              <w:left w:w="0" w:type="dxa"/>
              <w:right w:w="0" w:type="dxa"/>
            </w:tcMar>
          </w:tcPr>
          <w:p>
            <w:pPr>
              <w:jc w:val="center"/>
            </w:pPr>
            <w:r>
              <w:rPr>
                <w:rFonts w:ascii="Times New Roman" w:hAnsi="Times New Roman"/>
                <w:b/>
                <w:i w:val="0"/>
                <w:sz w:val="24"/>
                <w:u w:val="none"/>
              </w:rPr>
              <w:t>ĐẠI DIỆN BÊN B</w:t>
            </w:r>
          </w:p>
        </w:tc>
      </w:tr>
      <w:tr>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BẠCH THỊ KIM CƯƠNG</w:t>
            </w:r>
          </w:p>
        </w:tc>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TRẦN THỊ THƠM</w:t>
            </w:r>
          </w:p>
        </w:tc>
      </w:tr>
    </w:tbl>
    <w:p>
      <w:r>
        <w:br w:type="page"/>
      </w:r>
    </w:p>
    <w:p>
      <w:pPr>
        <w:spacing w:after="60" w:before="0" w:line="276" w:lineRule="auto"/>
        <w:jc w:val="center"/>
      </w:pPr>
      <w:r>
        <w:rPr>
          <w:rFonts w:ascii="Times New Roman" w:hAnsi="Times New Roman"/>
          <w:b/>
          <w:i w:val="0"/>
          <w:sz w:val="28"/>
          <w:u w:val="none"/>
        </w:rPr>
        <w:t>PHỤ LỤC</w:t>
      </w:r>
    </w:p>
    <w:p>
      <w:pPr>
        <w:spacing w:after="120" w:before="0" w:line="276" w:lineRule="auto"/>
        <w:jc w:val="center"/>
      </w:pPr>
      <w:r>
        <w:rPr>
          <w:rFonts w:ascii="Times New Roman" w:hAnsi="Times New Roman"/>
          <w:b/>
          <w:i/>
          <w:sz w:val="22"/>
          <w:u w:val="none"/>
        </w:rPr>
        <w:t xml:space="preserve">(Là phần không tách rời hợp đồng số: </w:t>
      </w:r>
      <w:r>
        <w:rPr>
          <w:rFonts w:ascii="Times New Roman" w:hAnsi="Times New Roman"/>
          <w:b/>
          <w:i/>
          <w:sz w:val="22"/>
          <w:u w:val="none"/>
        </w:rPr>
        <w:t>12.09/2025-HĐMB, ngày 12/09/2025</w:t>
      </w:r>
      <w:r>
        <w:rPr>
          <w:rFonts w:ascii="Times New Roman" w:hAnsi="Times New Roman"/>
          <w:b/>
          <w:i/>
          <w:sz w:val="22"/>
          <w:u w:val="none"/>
        </w:rPr>
        <w:t>)</w:t>
      </w:r>
    </w:p>
    <w:p>
      <w:pPr>
        <w:spacing w:after="60" w:before="80" w:line="276" w:lineRule="auto"/>
        <w:jc w:val="both"/>
      </w:pPr>
      <w:r>
        <w:rPr>
          <w:rFonts w:ascii="Times New Roman" w:hAnsi="Times New Roman"/>
          <w:b w:val="0"/>
          <w:i/>
          <w:sz w:val="22"/>
          <w:u w:val="none"/>
        </w:rPr>
        <w:t>Điều khoản về đặc tính kỹ thuật thiết bị được nhà sản xuất cung cấp cho người mua:</w:t>
      </w:r>
    </w:p>
    <w:p>
      <w:pPr>
        <w:spacing w:after="120" w:before="40" w:line="276" w:lineRule="auto"/>
        <w:jc w:val="both"/>
      </w:pPr>
      <w:r>
        <w:rPr>
          <w:rFonts w:ascii="Times New Roman" w:hAnsi="Times New Roman"/>
          <w:b/>
          <w:i w:val="0"/>
          <w:sz w:val="24"/>
          <w:u w:val="none"/>
        </w:rPr>
        <w:t>1. 01 máy cắt ngang tự động</w:t>
      </w:r>
    </w:p>
    <w:tbl>
      <w:tblPr>
        <w:tblStyle w:val="TableGrid"/>
        <w:tblW w:type="auto" w:w="0"/>
        <w:jc w:val="center"/>
        <w:tblLayout w:type="fixed"/>
        <w:tblLook w:firstColumn="1" w:firstRow="1" w:lastColumn="0" w:lastRow="0" w:noHBand="0" w:noVBand="1" w:val="04A0"/>
      </w:tblPr>
      <w:tblGrid>
        <w:gridCol w:w="648"/>
        <w:gridCol w:w="2160"/>
        <w:gridCol w:w="2592"/>
        <w:gridCol w:w="1296"/>
        <w:gridCol w:w="2664"/>
      </w:tblGrid>
      <w:tr>
        <w:tc>
          <w:tcPr>
            <w:tcW w:type="dxa" w:w="648"/>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STT</w:t>
            </w:r>
          </w:p>
        </w:tc>
        <w:tc>
          <w:tcPr>
            <w:tcW w:type="dxa" w:w="2160"/>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HẠNG MỤC</w:t>
            </w:r>
          </w:p>
        </w:tc>
        <w:tc>
          <w:tcPr>
            <w:tcW w:type="dxa" w:w="2592"/>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YÊU CẦU KỸ THUẬT</w:t>
            </w:r>
          </w:p>
        </w:tc>
        <w:tc>
          <w:tcPr>
            <w:tcW w:type="dxa" w:w="1296"/>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GHI CHÚ</w:t>
            </w:r>
          </w:p>
        </w:tc>
        <w:tc>
          <w:tcPr>
            <w:tcW w:type="dxa" w:w="2664"/>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NHÀ CUNG CẤP XÁC NHẬN</w:t>
            </w:r>
          </w:p>
        </w:tc>
      </w:tr>
      <w:tr>
        <w:tc>
          <w:tcPr>
            <w:tcW w:type="dxa" w:w="648"/>
            <w:vAlign w:val="center"/>
            <w:tcMar>
              <w:top w:w="40" w:type="dxa"/>
              <w:bottom w:w="40" w:type="dxa"/>
              <w:left w:w="40" w:type="dxa"/>
              <w:right w:w="40" w:type="dxa"/>
            </w:tcMar>
          </w:tcPr>
          <w:p/>
        </w:tc>
        <w:tc>
          <w:tcPr>
            <w:tcW w:type="dxa" w:w="2160"/>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Model</w:t>
            </w:r>
          </w:p>
        </w:tc>
        <w:tc>
          <w:tcPr>
            <w:tcW w:type="dxa" w:w="6552"/>
            <w:gridSpan w:val="3"/>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HT-HQ2000</w:t>
            </w:r>
          </w:p>
        </w:tc>
      </w:tr>
      <w:tr>
        <w:tc>
          <w:tcPr>
            <w:tcW w:type="dxa" w:w="648"/>
            <w:vAlign w:val="center"/>
            <w:tcMar>
              <w:top w:w="40" w:type="dxa"/>
              <w:bottom w:w="40" w:type="dxa"/>
              <w:left w:w="40" w:type="dxa"/>
              <w:right w:w="40" w:type="dxa"/>
            </w:tcMar>
          </w:tcPr>
          <w:p/>
        </w:tc>
        <w:tc>
          <w:tcPr>
            <w:tcW w:type="dxa" w:w="2160"/>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Năm sản xuất</w:t>
            </w:r>
          </w:p>
        </w:tc>
        <w:tc>
          <w:tcPr>
            <w:tcW w:type="dxa" w:w="6552"/>
            <w:gridSpan w:val="3"/>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2025</w:t>
            </w:r>
          </w:p>
        </w:tc>
      </w:tr>
      <w:tr>
        <w:tc>
          <w:tcPr>
            <w:tcW w:type="dxa" w:w="648"/>
            <w:vAlign w:val="center"/>
            <w:tcMar>
              <w:top w:w="40" w:type="dxa"/>
              <w:bottom w:w="40" w:type="dxa"/>
              <w:left w:w="40" w:type="dxa"/>
              <w:right w:w="40" w:type="dxa"/>
            </w:tcMar>
          </w:tcPr>
          <w:p/>
        </w:tc>
        <w:tc>
          <w:tcPr>
            <w:tcW w:type="dxa" w:w="2160"/>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Số lượng máy</w:t>
            </w:r>
          </w:p>
        </w:tc>
        <w:tc>
          <w:tcPr>
            <w:tcW w:type="dxa" w:w="6552"/>
            <w:gridSpan w:val="3"/>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01</w:t>
            </w:r>
          </w:p>
        </w:tc>
      </w:tr>
      <w:tr>
        <w:tc>
          <w:tcPr>
            <w:tcW w:type="dxa" w:w="648"/>
            <w:vAlign w:val="center"/>
            <w:tcMar>
              <w:top w:w="40" w:type="dxa"/>
              <w:bottom w:w="40" w:type="dxa"/>
              <w:left w:w="40" w:type="dxa"/>
              <w:right w:w="40" w:type="dxa"/>
            </w:tcMar>
          </w:tcPr>
          <w:p>
            <w:pPr>
              <w:jc w:val="center"/>
            </w:pPr>
            <w:r>
              <w:rPr>
                <w:rFonts w:ascii="Times New Roman" w:hAnsi="Times New Roman"/>
                <w:b/>
                <w:i w:val="0"/>
                <w:sz w:val="20"/>
                <w:u w:val="none"/>
              </w:rPr>
              <w:t>A</w:t>
            </w:r>
          </w:p>
        </w:tc>
        <w:tc>
          <w:tcPr>
            <w:tcW w:type="dxa" w:w="8712"/>
            <w:gridSpan w:val="4"/>
            <w:vAlign w:val="center"/>
            <w:tcMar>
              <w:top w:w="40" w:type="dxa"/>
              <w:bottom w:w="40" w:type="dxa"/>
              <w:left w:w="60" w:type="dxa"/>
              <w:right w:w="60" w:type="dxa"/>
            </w:tcMar>
          </w:tcPr>
          <w:p>
            <w:pPr>
              <w:spacing w:after="40" w:before="40"/>
              <w:jc w:val="left"/>
            </w:pPr>
            <w:r>
              <w:rPr>
                <w:rFonts w:ascii="Times New Roman" w:hAnsi="Times New Roman"/>
                <w:b/>
                <w:i w:val="0"/>
                <w:sz w:val="20"/>
                <w:u w:val="none"/>
              </w:rPr>
              <w:t>Yêu cầu chung</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Sản phẩm</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Khăn bông</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Sản phẩm: khăn bông</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Trọng lượng khăn</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190g-600 g/m²</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190g-600 g/m²</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3</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Kích thước ngang của khăn</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Từ 15cm đến 180cm</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Từ 15cm đến 92 cm</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4</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Kích thước dọc của khăn</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Từ 15cm đến 200cm</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Từ 15cm đến 200cm</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5</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Chất liệu sản phẩm</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Sợi cotton, bamboo, PVA</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Sợi cotton, bamboo, PVA</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6</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dài phần dệt nền giữa 2 khăn</w:t>
              <w:br/>
              <w:t>(Từ chân bông của khăn trước đến chân bông của khăn sau)</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2.5cm - 50cm</w:t>
              <w:br/>
              <w:t>2.5cm: Khăn vắt sổ</w:t>
              <w:br/>
              <w:t>50cm: Khăn đầu trống</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3.5cm-50 cm</w:t>
              <w:br/>
              <w:t>3.5cm: Khăn vắt sổ</w:t>
              <w:br/>
              <w:t>50cm: Khăn đầu trống</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7</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Cấp khăn đầu vào</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Kiểu xe chứa</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Kiểu xe chứa</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8</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Cách cắt khăn</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Thực hiện được bằng cả 02 cách:</w:t>
              <w:br/>
              <w:t>1. Cơ khí (do cắt theo kích thước chiều dài khăn đã cài đặt).</w:t>
              <w:br/>
              <w:t>2. Comb (cắt tại vị trí rãnh phân khăn đã được dệt)</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Thực hiện được bằng cả 02 cách:</w:t>
              <w:br/>
              <w:t>1. Cơ khí (do cắt theo kích thước chiều dài khăn đã cài đặt).</w:t>
              <w:br/>
              <w:t>2. Comb (cắt tại vị trí rãnh phân khăn đã được dệt)</w:t>
              <w:br/>
              <w:t>Vị trí đầu chặn khăn có thể thay thế sử dụng hai loại đầu chặn.</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9</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Ra khăn</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Rải thẳng</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Rải thẳng</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10</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Đếm số lượng</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Đếm và hiển thị chính xác số lượng đã cắt trên màn hình.</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t>Không tính số lượng rèo phế</w:t>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Thiết lập số lượng đếm trên máy</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11</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Yêu cầu sản phẩm sau cắt</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Cắt đúng rãnh phân khăn đã định sẵn hoặc đúng kích thước khăn.</w:t>
              <w:br/>
              <w:t>Đường cắt phải thẳng, không lẹm</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Chỉ cần khăn dệt không có vấn đề, thì sẽ không cắt sai</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12</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Năng suất yêu cầu</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&gt;24 cái/phút</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t>1 lần cắt 2 cái</w:t>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Trong 1 lần cắt</w:t>
              <w:br/>
              <w:t>Kích thước ngang của khăn là:</w:t>
              <w:br/>
              <w:t>-Cắt 1 lần 1 khăn:kích thước tối đa:15-90cm</w:t>
              <w:br/>
              <w:t>-Cắt 1 lần 2 khăn: kích thước tối đa 15-43cm</w:t>
              <w:br/>
              <w:t>Ví dụ: cắt khăn dài 1m thì trong 1 phút cắt được:</w:t>
              <w:br/>
              <w:t>-Cắt 1 lần 1 khăn: cắt được 12 cái</w:t>
              <w:br/>
              <w:t>-Cắt 1 lần 2 khăn: cắt được 24 cái</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13</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Hệ thống điều khiển/hiển thị</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Tự động – Digital</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Tự động – Digital</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14</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Phần mềm kết nối trung tâm</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PhanYi (Phần mềm PhanYi)</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15</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Màn hình điều khiển hiển thị</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Màn hình cảm ứng PhanYi</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16</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Cổng kết nối máy tính</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PLC hãng Xinje</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17</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Dữ liệu truy xuất</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Có thể truy xuất dữ liệu</w:t>
              <w:br/>
              <w:t>( Ví dụ: sản lượng một ngày cắt bao nhiêu, một tháng cắt bao nhiêu khăn)</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18</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Lưu trữ dữ liệu vận hành máy</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Trên chính máy</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19</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Bearing (Bạc đạn)</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SKF Germany hoặc tương đương</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SKF Germany hoặc tương đương</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20</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Công suất máy</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2.5KW</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21</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Áp suất không khí tối đa</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0.6Mpa</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22</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Điện áp</w:t>
            </w:r>
          </w:p>
        </w:tc>
        <w:tc>
          <w:tcPr>
            <w:tcW w:type="dxa" w:w="2592"/>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1 pha 220v 50Hz</w:t>
              <w:br/>
              <w:t>3 pha 380v 50Hz</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1 pha 220v 50Hz</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23</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Kích thước máy</w:t>
              <w:br/>
              <w:t>(dài x rộng x cao)</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4830mm*2285mm*2415mm</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24</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Cân nặng máy</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400kg</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25</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Sơ đồ công nghệ, hướng dẫn vận hành</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Có</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Có</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26</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Quy cách, công suất điện từng động cơ</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Có</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Có</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27</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Hệ thống chỉnh tâm đầu vào và ra</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Có</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Có</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28</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Tủ điện điều khiển máy</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Máy tích hợp tủ điện</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29</w:t>
            </w:r>
          </w:p>
        </w:tc>
        <w:tc>
          <w:tcPr>
            <w:tcW w:type="dxa" w:w="2160"/>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Yêu cầu cần thiết khi dệt, nhuộm để máy có thể cắt được.</w:t>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t>Nêu rõ</w:t>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Không có yêu cầu đặt biệt</w:t>
            </w:r>
          </w:p>
        </w:tc>
      </w:tr>
      <w:tr>
        <w:tc>
          <w:tcPr>
            <w:tcW w:type="dxa" w:w="648"/>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30</w:t>
            </w:r>
          </w:p>
        </w:tc>
        <w:tc>
          <w:tcPr>
            <w:tcW w:type="dxa" w:w="2160"/>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r>
          </w:p>
        </w:tc>
        <w:tc>
          <w:tcPr>
            <w:tcW w:type="dxa" w:w="2592"/>
            <w:vAlign w:val="center"/>
            <w:tcMar>
              <w:top w:w="40" w:type="dxa"/>
              <w:bottom w:w="40" w:type="dxa"/>
              <w:left w:w="60" w:type="dxa"/>
              <w:right w:w="60" w:type="dxa"/>
            </w:tcMar>
          </w:tcPr>
          <w:p>
            <w:pPr>
              <w:spacing w:after="40" w:before="40" w:line="252" w:lineRule="auto"/>
              <w:jc w:val="center"/>
            </w:pPr>
            <w:r>
              <w:rPr>
                <w:rFonts w:ascii="Times New Roman" w:hAnsi="Times New Roman"/>
                <w:b w:val="0"/>
                <w:i w:val="0"/>
                <w:sz w:val="20"/>
                <w:u w:val="none"/>
              </w:rPr>
            </w:r>
          </w:p>
        </w:tc>
        <w:tc>
          <w:tcPr>
            <w:tcW w:type="dxa" w:w="1296"/>
            <w:vAlign w:val="center"/>
            <w:tcMar>
              <w:top w:w="40" w:type="dxa"/>
              <w:bottom w:w="40" w:type="dxa"/>
              <w:left w:w="40" w:type="dxa"/>
              <w:right w:w="40" w:type="dxa"/>
            </w:tcMar>
          </w:tcPr>
          <w:p>
            <w:pPr>
              <w:spacing w:after="40" w:before="40" w:line="252" w:lineRule="auto"/>
              <w:jc w:val="center"/>
            </w:pPr>
            <w:r>
              <w:rPr>
                <w:rFonts w:ascii="Times New Roman" w:hAnsi="Times New Roman"/>
                <w:b w:val="0"/>
                <w:i w:val="0"/>
                <w:sz w:val="20"/>
                <w:u w:val="none"/>
              </w:rPr>
            </w:r>
          </w:p>
        </w:tc>
        <w:tc>
          <w:tcPr>
            <w:tcW w:type="dxa" w:w="266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Thời gian bảo hành</w:t>
              <w:br/>
              <w:t>Spare part dự trữ 1 năm</w:t>
            </w:r>
          </w:p>
        </w:tc>
      </w:tr>
    </w:tbl>
    <w:p>
      <w:pPr>
        <w:spacing w:after="120" w:before="80" w:line="276" w:lineRule="auto"/>
        <w:jc w:val="both"/>
      </w:pP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648"/>
            <w:vAlign w:val="center"/>
            <w:tcMar>
              <w:top w:w="40" w:type="dxa"/>
              <w:bottom w:w="40" w:type="dxa"/>
              <w:left w:w="40" w:type="dxa"/>
              <w:right w:w="40" w:type="dxa"/>
            </w:tcMar>
          </w:tcPr>
          <w:p>
            <w:pPr>
              <w:jc w:val="center"/>
            </w:pPr>
            <w:r>
              <w:rPr>
                <w:rFonts w:ascii="Times New Roman" w:hAnsi="Times New Roman"/>
                <w:b/>
                <w:i w:val="0"/>
                <w:sz w:val="22"/>
                <w:u w:val="none"/>
              </w:rPr>
              <w:t>B</w:t>
            </w:r>
          </w:p>
        </w:tc>
        <w:tc>
          <w:tcPr>
            <w:tcW w:type="dxa" w:w="8712"/>
            <w:gridSpan w:val="2"/>
            <w:vAlign w:val="center"/>
            <w:tcMar>
              <w:top w:w="40" w:type="dxa"/>
              <w:bottom w:w="40" w:type="dxa"/>
              <w:left w:w="60" w:type="dxa"/>
              <w:right w:w="60" w:type="dxa"/>
            </w:tcMar>
          </w:tcPr>
          <w:p>
            <w:pPr>
              <w:spacing w:after="60" w:before="60"/>
              <w:jc w:val="left"/>
            </w:pPr>
            <w:r>
              <w:rPr>
                <w:rFonts w:ascii="Times New Roman" w:hAnsi="Times New Roman"/>
                <w:b/>
                <w:i w:val="0"/>
                <w:sz w:val="22"/>
                <w:u w:val="none"/>
              </w:rPr>
              <w:t>Danh sách vật tư phụ tùng (Spare part)</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QW3-55 0.5</w:t>
            </w:r>
          </w:p>
        </w:tc>
        <w:tc>
          <w:tcPr>
            <w:tcW w:type="dxa" w:w="2664"/>
            <w:vAlign w:val="center"/>
            <w:tcMar>
              <w:top w:w="40" w:type="dxa"/>
              <w:bottom w:w="40" w:type="dxa"/>
              <w:left w:w="40" w:type="dxa"/>
              <w:right w:w="40" w:type="dxa"/>
            </w:tcMar>
          </w:tcPr>
          <w:p>
            <w:pPr>
              <w:jc w:val="center"/>
            </w:pPr>
            <w:r>
              <w:rPr>
                <w:rFonts w:ascii="Times New Roman" w:hAnsi="Times New Roman"/>
                <w:b w:val="0"/>
                <w:i w:val="0"/>
                <w:sz w:val="20"/>
                <w:u w:val="none"/>
              </w:rPr>
              <w:t>8 cái</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2</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QW3-56 Bộ phận điều chỉnh lưỡi dao M8*0.75</w:t>
            </w:r>
          </w:p>
        </w:tc>
        <w:tc>
          <w:tcPr>
            <w:tcW w:type="dxa" w:w="2664"/>
            <w:vAlign w:val="center"/>
            <w:tcMar>
              <w:top w:w="40" w:type="dxa"/>
              <w:bottom w:w="40" w:type="dxa"/>
              <w:left w:w="40" w:type="dxa"/>
              <w:right w:w="40" w:type="dxa"/>
            </w:tcMar>
          </w:tcPr>
          <w:p>
            <w:pPr>
              <w:jc w:val="center"/>
            </w:pPr>
            <w:r>
              <w:rPr>
                <w:rFonts w:ascii="Times New Roman" w:hAnsi="Times New Roman"/>
                <w:b w:val="0"/>
                <w:i w:val="0"/>
                <w:sz w:val="20"/>
                <w:u w:val="none"/>
              </w:rPr>
              <w:t>8 cái</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3</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HQ-02-02 Lưỡi dao trên 1050*65*11*10</w:t>
            </w:r>
          </w:p>
        </w:tc>
        <w:tc>
          <w:tcPr>
            <w:tcW w:type="dxa" w:w="2664"/>
            <w:vAlign w:val="center"/>
            <w:tcMar>
              <w:top w:w="40" w:type="dxa"/>
              <w:bottom w:w="40" w:type="dxa"/>
              <w:left w:w="40" w:type="dxa"/>
              <w:right w:w="40" w:type="dxa"/>
            </w:tcMar>
          </w:tcPr>
          <w:p>
            <w:pPr>
              <w:jc w:val="center"/>
            </w:pPr>
            <w:r>
              <w:rPr>
                <w:rFonts w:ascii="Times New Roman" w:hAnsi="Times New Roman"/>
                <w:b w:val="0"/>
                <w:i w:val="0"/>
                <w:sz w:val="20"/>
                <w:u w:val="none"/>
              </w:rPr>
              <w:t>1 cái</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4</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HQ-02-01 Lưỡi dao dưới 1050*79.5*11</w:t>
            </w:r>
          </w:p>
        </w:tc>
        <w:tc>
          <w:tcPr>
            <w:tcW w:type="dxa" w:w="2664"/>
            <w:vAlign w:val="center"/>
            <w:tcMar>
              <w:top w:w="40" w:type="dxa"/>
              <w:bottom w:w="40" w:type="dxa"/>
              <w:left w:w="40" w:type="dxa"/>
              <w:right w:w="40" w:type="dxa"/>
            </w:tcMar>
          </w:tcPr>
          <w:p>
            <w:pPr>
              <w:jc w:val="center"/>
            </w:pPr>
            <w:r>
              <w:rPr>
                <w:rFonts w:ascii="Times New Roman" w:hAnsi="Times New Roman"/>
                <w:b w:val="0"/>
                <w:i w:val="0"/>
                <w:sz w:val="20"/>
                <w:u w:val="none"/>
              </w:rPr>
              <w:t>1 cái</w:t>
            </w:r>
          </w:p>
        </w:tc>
      </w:tr>
    </w:tbl>
    <w:p>
      <w:pPr>
        <w:spacing w:after="120" w:before="80" w:line="276" w:lineRule="auto"/>
        <w:jc w:val="both"/>
      </w:pPr>
    </w:p>
    <w:tbl>
      <w:tblPr>
        <w:tblStyle w:val="TableGrid"/>
        <w:tblW w:type="auto" w:w="0"/>
        <w:jc w:val="center"/>
        <w:tblLayout w:type="fixed"/>
        <w:tblLook w:firstColumn="1" w:firstRow="1" w:lastColumn="0" w:lastRow="0" w:noHBand="0" w:noVBand="1" w:val="04A0"/>
      </w:tblPr>
      <w:tblGrid>
        <w:gridCol w:w="2340"/>
        <w:gridCol w:w="2340"/>
        <w:gridCol w:w="2340"/>
        <w:gridCol w:w="2340"/>
      </w:tblGrid>
      <w:tr>
        <w:tc>
          <w:tcPr>
            <w:tcW w:type="dxa" w:w="648"/>
            <w:vAlign w:val="center"/>
            <w:tcMar>
              <w:top w:w="40" w:type="dxa"/>
              <w:bottom w:w="40" w:type="dxa"/>
              <w:left w:w="40" w:type="dxa"/>
              <w:right w:w="40" w:type="dxa"/>
            </w:tcMar>
          </w:tcPr>
          <w:p>
            <w:pPr>
              <w:jc w:val="center"/>
            </w:pPr>
            <w:r>
              <w:rPr>
                <w:rFonts w:ascii="Times New Roman" w:hAnsi="Times New Roman"/>
                <w:b/>
                <w:i w:val="0"/>
                <w:sz w:val="22"/>
                <w:u w:val="none"/>
              </w:rPr>
              <w:t>C</w:t>
            </w:r>
          </w:p>
        </w:tc>
        <w:tc>
          <w:tcPr>
            <w:tcW w:type="dxa" w:w="8712"/>
            <w:gridSpan w:val="3"/>
            <w:vAlign w:val="center"/>
            <w:tcMar>
              <w:top w:w="40" w:type="dxa"/>
              <w:bottom w:w="40" w:type="dxa"/>
              <w:left w:w="60" w:type="dxa"/>
              <w:right w:w="60" w:type="dxa"/>
            </w:tcMar>
          </w:tcPr>
          <w:p>
            <w:pPr>
              <w:spacing w:after="60" w:before="60"/>
              <w:jc w:val="left"/>
            </w:pPr>
            <w:r>
              <w:rPr>
                <w:rFonts w:ascii="Times New Roman" w:hAnsi="Times New Roman"/>
                <w:b/>
                <w:i w:val="0"/>
                <w:sz w:val="22"/>
                <w:u w:val="none"/>
              </w:rPr>
              <w:t>BẢNG PHỤ TÙNG KÈM THEO</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QW3–55</w:t>
            </w:r>
          </w:p>
        </w:tc>
        <w:tc>
          <w:tcPr>
            <w:tcW w:type="dxa" w:w="3600"/>
            <w:vAlign w:val="center"/>
            <w:tcMar>
              <w:top w:w="40" w:type="dxa"/>
              <w:bottom w:w="40" w:type="dxa"/>
              <w:left w:w="60" w:type="dxa"/>
              <w:right w:w="60" w:type="dxa"/>
            </w:tcMar>
          </w:tcPr>
          <w:p>
            <w:pPr>
              <w:jc w:val="left"/>
            </w:pPr>
            <w:r>
              <w:rPr>
                <w:rFonts w:ascii="Times New Roman" w:hAnsi="Times New Roman"/>
                <w:b w:val="0"/>
                <w:i w:val="0"/>
                <w:sz w:val="20"/>
                <w:u w:val="none"/>
              </w:rPr>
              <w:t>Vít điều chỉnh phần dao M8×0.75</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8</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2</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QW3–56</w:t>
            </w:r>
          </w:p>
        </w:tc>
        <w:tc>
          <w:tcPr>
            <w:tcW w:type="dxa" w:w="3600"/>
            <w:vAlign w:val="center"/>
            <w:tcMar>
              <w:top w:w="40" w:type="dxa"/>
              <w:bottom w:w="40" w:type="dxa"/>
              <w:left w:w="60" w:type="dxa"/>
              <w:right w:w="60" w:type="dxa"/>
            </w:tcMar>
          </w:tcPr>
          <w:p>
            <w:pPr>
              <w:jc w:val="left"/>
            </w:pPr>
            <w:r>
              <w:rPr>
                <w:rFonts w:ascii="Times New Roman" w:hAnsi="Times New Roman"/>
                <w:b w:val="0"/>
                <w:i w:val="0"/>
                <w:sz w:val="20"/>
                <w:u w:val="none"/>
              </w:rPr>
              <w:t>Vít điều chỉnh phần dao M8×0.75</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8</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3</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HQ–02–02</w:t>
            </w:r>
          </w:p>
        </w:tc>
        <w:tc>
          <w:tcPr>
            <w:tcW w:type="dxa" w:w="3600"/>
            <w:vAlign w:val="center"/>
            <w:tcMar>
              <w:top w:w="40" w:type="dxa"/>
              <w:bottom w:w="40" w:type="dxa"/>
              <w:left w:w="60" w:type="dxa"/>
              <w:right w:w="60" w:type="dxa"/>
            </w:tcMar>
          </w:tcPr>
          <w:p>
            <w:pPr>
              <w:jc w:val="left"/>
            </w:pPr>
            <w:r>
              <w:rPr>
                <w:rFonts w:ascii="Times New Roman" w:hAnsi="Times New Roman"/>
                <w:b w:val="0"/>
                <w:i w:val="0"/>
                <w:sz w:val="20"/>
                <w:u w:val="none"/>
              </w:rPr>
              <w:t>Dao trên phần cắt 1050×65×1×10</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4</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HQ–02–01</w:t>
            </w:r>
          </w:p>
        </w:tc>
        <w:tc>
          <w:tcPr>
            <w:tcW w:type="dxa" w:w="3600"/>
            <w:vAlign w:val="center"/>
            <w:tcMar>
              <w:top w:w="40" w:type="dxa"/>
              <w:bottom w:w="40" w:type="dxa"/>
              <w:left w:w="60" w:type="dxa"/>
              <w:right w:w="60" w:type="dxa"/>
            </w:tcMar>
          </w:tcPr>
          <w:p>
            <w:pPr>
              <w:jc w:val="left"/>
            </w:pPr>
            <w:r>
              <w:rPr>
                <w:rFonts w:ascii="Times New Roman" w:hAnsi="Times New Roman"/>
                <w:b w:val="0"/>
                <w:i w:val="0"/>
                <w:sz w:val="20"/>
                <w:u w:val="none"/>
              </w:rPr>
              <w:t>Dao dưới phần cắt 1050×79.5×11</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5</w:t>
            </w:r>
          </w:p>
        </w:tc>
        <w:tc>
          <w:tcPr>
            <w:tcW w:type="dxa" w:w="3168"/>
            <w:vAlign w:val="center"/>
            <w:tcMar>
              <w:top w:w="40" w:type="dxa"/>
              <w:bottom w:w="40" w:type="dxa"/>
              <w:left w:w="60" w:type="dxa"/>
              <w:right w:w="60" w:type="dxa"/>
            </w:tcMar>
          </w:tcPr>
          <w:p>
            <w:pPr>
              <w:jc w:val="left"/>
            </w:pPr>
            <w:r>
              <w:rPr>
                <w:rFonts w:ascii="Times New Roman" w:hAnsi="Times New Roman"/>
                <w:b w:val="0"/>
                <w:i w:val="0"/>
                <w:sz w:val="20"/>
                <w:u w:val="none"/>
              </w:rPr>
              <w:t>Đầu nối thẳng PC4–M5</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t>MPOC4–M5</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5</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6</w:t>
            </w:r>
          </w:p>
        </w:tc>
        <w:tc>
          <w:tcPr>
            <w:tcW w:type="dxa" w:w="3168"/>
            <w:vAlign w:val="center"/>
            <w:tcMar>
              <w:top w:w="40" w:type="dxa"/>
              <w:bottom w:w="40" w:type="dxa"/>
              <w:left w:w="60" w:type="dxa"/>
              <w:right w:w="60" w:type="dxa"/>
            </w:tcMar>
          </w:tcPr>
          <w:p>
            <w:pPr>
              <w:jc w:val="left"/>
            </w:pPr>
            <w:r>
              <w:rPr>
                <w:rFonts w:ascii="Times New Roman" w:hAnsi="Times New Roman"/>
                <w:b w:val="0"/>
                <w:i w:val="0"/>
                <w:sz w:val="20"/>
                <w:u w:val="none"/>
              </w:rPr>
              <w:t>Đầu nối kiểu mê cung SQL4–M5</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t>PL4–M5</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7</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Bộ lục giác</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8</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Bộ dụng cụ</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9</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Cờ lê mở 12–14</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10</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Cờ lê mở 13–15</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11</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Cờ lê mở 16–18</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12</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Cờ lê mở 5.5–7</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13</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Cờ lê mở 8–10</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14</w:t>
            </w:r>
          </w:p>
        </w:tc>
        <w:tc>
          <w:tcPr>
            <w:tcW w:type="dxa" w:w="3168"/>
            <w:vAlign w:val="center"/>
            <w:tcMar>
              <w:top w:w="40" w:type="dxa"/>
              <w:bottom w:w="40" w:type="dxa"/>
              <w:left w:w="60" w:type="dxa"/>
              <w:right w:w="60" w:type="dxa"/>
            </w:tcMar>
          </w:tcPr>
          <w:p>
            <w:pPr>
              <w:jc w:val="left"/>
            </w:pPr>
            <w:r>
              <w:rPr>
                <w:rFonts w:ascii="Times New Roman" w:hAnsi="Times New Roman"/>
                <w:b w:val="0"/>
                <w:i w:val="0"/>
                <w:sz w:val="20"/>
                <w:u w:val="none"/>
              </w:rPr>
              <w:t>Tô vít dẹt 3×75</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15</w:t>
            </w:r>
          </w:p>
        </w:tc>
        <w:tc>
          <w:tcPr>
            <w:tcW w:type="dxa" w:w="3168"/>
            <w:vAlign w:val="center"/>
            <w:tcMar>
              <w:top w:w="40" w:type="dxa"/>
              <w:bottom w:w="40" w:type="dxa"/>
              <w:left w:w="60" w:type="dxa"/>
              <w:right w:w="60" w:type="dxa"/>
            </w:tcMar>
          </w:tcPr>
          <w:p>
            <w:pPr>
              <w:jc w:val="left"/>
            </w:pPr>
            <w:r>
              <w:rPr>
                <w:rFonts w:ascii="Times New Roman" w:hAnsi="Times New Roman"/>
                <w:b w:val="0"/>
                <w:i w:val="0"/>
                <w:sz w:val="20"/>
                <w:u w:val="none"/>
              </w:rPr>
              <w:t>TÔ VÍT BAKE 6X100</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16</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MŨI NHỌN</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17</w:t>
            </w:r>
          </w:p>
        </w:tc>
        <w:tc>
          <w:tcPr>
            <w:tcW w:type="dxa" w:w="3168"/>
            <w:vAlign w:val="center"/>
            <w:tcMar>
              <w:top w:w="40" w:type="dxa"/>
              <w:bottom w:w="40" w:type="dxa"/>
              <w:left w:w="60" w:type="dxa"/>
              <w:right w:w="60" w:type="dxa"/>
            </w:tcMar>
          </w:tcPr>
          <w:p>
            <w:pPr>
              <w:jc w:val="left"/>
            </w:pPr>
            <w:r>
              <w:rPr>
                <w:rFonts w:ascii="Times New Roman" w:hAnsi="Times New Roman"/>
                <w:b w:val="0"/>
                <w:i w:val="0"/>
                <w:sz w:val="20"/>
                <w:u w:val="none"/>
              </w:rPr>
              <w:t>QW3–54 (thước thép không gỉ R0-600)</w:t>
            </w:r>
          </w:p>
        </w:tc>
        <w:tc>
          <w:tcPr>
            <w:tcW w:type="dxa" w:w="3600"/>
            <w:vAlign w:val="center"/>
            <w:tcMar>
              <w:top w:w="40" w:type="dxa"/>
              <w:bottom w:w="40" w:type="dxa"/>
              <w:left w:w="60" w:type="dxa"/>
              <w:right w:w="60" w:type="dxa"/>
            </w:tcMar>
          </w:tcPr>
          <w:p>
            <w:pPr>
              <w:jc w:val="left"/>
            </w:pPr>
            <w:r>
              <w:rPr>
                <w:rFonts w:ascii="Times New Roman" w:hAnsi="Times New Roman"/>
                <w:b w:val="0"/>
                <w:i w:val="0"/>
                <w:sz w:val="20"/>
                <w:u w:val="none"/>
              </w:rPr>
              <w:t>Tấm nhôm đẩy liệu phần toàn máy</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18</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Ống hơi Φ8MM</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t>Có đầu nối ống</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19</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Súng hơi</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t>Phụ kiện</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648"/>
            <w:vAlign w:val="center"/>
            <w:tcMar>
              <w:top w:w="40" w:type="dxa"/>
              <w:bottom w:w="40" w:type="dxa"/>
              <w:left w:w="40" w:type="dxa"/>
              <w:right w:w="40" w:type="dxa"/>
            </w:tcMar>
          </w:tcPr>
          <w:p>
            <w:pPr>
              <w:jc w:val="center"/>
            </w:pPr>
            <w:r>
              <w:rPr>
                <w:rFonts w:ascii="Times New Roman" w:hAnsi="Times New Roman"/>
                <w:b w:val="0"/>
                <w:i w:val="0"/>
                <w:sz w:val="20"/>
                <w:u w:val="none"/>
              </w:rPr>
              <w:t>20</w:t>
            </w:r>
          </w:p>
        </w:tc>
        <w:tc>
          <w:tcPr>
            <w:tcW w:type="dxa" w:w="3168"/>
            <w:vAlign w:val="center"/>
            <w:tcMar>
              <w:top w:w="40" w:type="dxa"/>
              <w:bottom w:w="40" w:type="dxa"/>
              <w:left w:w="60" w:type="dxa"/>
              <w:right w:w="60" w:type="dxa"/>
            </w:tcMar>
          </w:tcPr>
          <w:p>
            <w:pPr>
              <w:jc w:val="center"/>
            </w:pPr>
            <w:r>
              <w:rPr>
                <w:rFonts w:ascii="Times New Roman" w:hAnsi="Times New Roman"/>
                <w:b w:val="0"/>
                <w:i w:val="0"/>
                <w:sz w:val="20"/>
                <w:u w:val="none"/>
              </w:rPr>
              <w:t>Dây đồng nhỏ</w:t>
            </w:r>
          </w:p>
        </w:tc>
        <w:tc>
          <w:tcPr>
            <w:tcW w:type="dxa" w:w="3600"/>
            <w:vAlign w:val="center"/>
            <w:tcMar>
              <w:top w:w="40" w:type="dxa"/>
              <w:bottom w:w="40" w:type="dxa"/>
              <w:left w:w="60" w:type="dxa"/>
              <w:right w:w="60" w:type="dxa"/>
            </w:tcMar>
          </w:tcPr>
          <w:p>
            <w:pPr>
              <w:jc w:val="center"/>
            </w:pPr>
            <w:r>
              <w:rPr>
                <w:rFonts w:ascii="Times New Roman" w:hAnsi="Times New Roman"/>
                <w:b w:val="0"/>
                <w:i w:val="0"/>
                <w:sz w:val="20"/>
                <w:u w:val="none"/>
              </w:rPr>
              <w:t>1 túi</w:t>
            </w:r>
          </w:p>
        </w:tc>
        <w:tc>
          <w:tcPr>
            <w:tcW w:type="dxa" w:w="1944"/>
            <w:vAlign w:val="center"/>
            <w:tcMar>
              <w:top w:w="40" w:type="dxa"/>
              <w:bottom w:w="40" w:type="dxa"/>
              <w:left w:w="40" w:type="dxa"/>
              <w:right w:w="40" w:type="dxa"/>
            </w:tcMar>
          </w:tcPr>
          <w:p>
            <w:pPr>
              <w:jc w:val="center"/>
            </w:pPr>
            <w:r>
              <w:rPr>
                <w:rFonts w:ascii="Times New Roman" w:hAnsi="Times New Roman"/>
                <w:b w:val="0"/>
                <w:i w:val="0"/>
                <w:sz w:val="20"/>
                <w:u w:val="none"/>
              </w:rPr>
              <w:t>1 gói</w:t>
            </w:r>
          </w:p>
        </w:tc>
      </w:tr>
    </w:tbl>
    <w:p>
      <w:pPr>
        <w:spacing w:after="280" w:before="200" w:line="276" w:lineRule="auto"/>
        <w:jc w:val="both"/>
      </w:pPr>
      <w:r>
        <w:rPr>
          <w:rFonts w:ascii="Times New Roman" w:hAnsi="Times New Roman"/>
          <w:b w:val="0"/>
          <w:i w:val="0"/>
          <w:sz w:val="24"/>
          <w:u w:val="none"/>
        </w:rPr>
        <w:t>Phụ lục này được lập thành 06 (sáu) bộ, chủ đầu tư giữ 04 (bốn) bộ, nhà thầu giữ 02 (hai) bộ, các bộ hợp đồng có giá trị pháp lý như nhau.</w:t>
      </w:r>
    </w:p>
    <w:tbl>
      <w:tblPr>
        <w:tblW w:type="auto" w:w="0"/>
        <w:jc w:val="center"/>
        <w:tblLayout w:type="fixed"/>
        <w:tblLook w:firstColumn="1" w:firstRow="1" w:lastColumn="0" w:lastRow="0" w:noHBand="0" w:noVBand="1" w:val="04A0"/>
      </w:tblPr>
      <w:tblGrid>
        <w:gridCol w:w="4680"/>
        <w:gridCol w:w="4680"/>
      </w:tblGrid>
      <w:tr>
        <w:tc>
          <w:tcPr>
            <w:tcW w:type="dxa" w:w="4680"/>
            <w:tcMar>
              <w:top w:w="0" w:type="dxa"/>
              <w:bottom w:w="0" w:type="dxa"/>
              <w:left w:w="0" w:type="dxa"/>
              <w:right w:w="0" w:type="dxa"/>
            </w:tcMar>
          </w:tcPr>
          <w:p>
            <w:pPr>
              <w:jc w:val="center"/>
            </w:pPr>
            <w:r>
              <w:rPr>
                <w:rFonts w:ascii="Times New Roman" w:hAnsi="Times New Roman"/>
                <w:b/>
                <w:i w:val="0"/>
                <w:sz w:val="24"/>
                <w:u w:val="none"/>
              </w:rPr>
              <w:t>ĐẠI DIỆN BÊN A</w:t>
            </w:r>
          </w:p>
        </w:tc>
        <w:tc>
          <w:tcPr>
            <w:tcW w:type="dxa" w:w="4680"/>
            <w:tcMar>
              <w:top w:w="0" w:type="dxa"/>
              <w:bottom w:w="0" w:type="dxa"/>
              <w:left w:w="0" w:type="dxa"/>
              <w:right w:w="0" w:type="dxa"/>
            </w:tcMar>
          </w:tcPr>
          <w:p>
            <w:pPr>
              <w:jc w:val="center"/>
            </w:pPr>
            <w:r>
              <w:rPr>
                <w:rFonts w:ascii="Times New Roman" w:hAnsi="Times New Roman"/>
                <w:b/>
                <w:i w:val="0"/>
                <w:sz w:val="24"/>
                <w:u w:val="none"/>
              </w:rPr>
              <w:t>ĐẠI DIỆN BÊN B</w:t>
            </w:r>
          </w:p>
        </w:tc>
      </w:tr>
      <w:tr>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BẠCH THỊ KIM CƯƠNG</w:t>
            </w:r>
          </w:p>
        </w:tc>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TRẦN THỊ THƠM</w:t>
            </w:r>
          </w:p>
        </w:tc>
      </w:tr>
    </w:tbl>
    <w:sectPr w:rsidR="00FC693F" w:rsidRPr="0006063C" w:rsidSect="00034616">
      <w:pgSz w:w="11909" w:h="16834"/>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