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D533A6">
              <w:rPr>
                <w:rFonts w:ascii="Times New Roman" w:hAnsi="Times New Roman" w:cs="Times New Roman"/>
                <w:i/>
                <w:sz w:val="26"/>
                <w:szCs w:val="26"/>
              </w:rPr>
              <w:t>06/HĐLD/20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8A5F9D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D533A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456CCD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09</w:t>
            </w:r>
            <w:bookmarkStart w:id="0" w:name="_GoBack"/>
            <w:bookmarkEnd w:id="0"/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</w:t>
            </w:r>
            <w:r w:rsidR="00D533A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9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 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D533A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NGUYỄN ĐÌNH QUYỀN</w:t>
      </w:r>
    </w:p>
    <w:p w:rsidR="00D533A6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03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1986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034086010578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08/07/2019 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Lộc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Nam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8A5F9D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Lộc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Nam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kiêm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óc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xong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móc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411E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4E6888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411E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trường,nhu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</w:p>
    <w:p w:rsidR="008C411E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C41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Đặc</w:t>
      </w:r>
      <w:proofErr w:type="spellEnd"/>
      <w:r w:rsidRPr="008C41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41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mật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 w:rsidR="001155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proofErr w:type="gramEnd"/>
      <w:r w:rsidR="001155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TNHH MTV &amp; DV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Thơm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</w:p>
    <w:p w:rsidR="007C2EC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 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5.016</w:t>
      </w:r>
      <w:r w:rsidR="009476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836.0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836.0</w:t>
      </w:r>
      <w:r w:rsidR="009476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4E688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418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="00BF69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F69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 w:rsidR="00BF69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BF69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2E15F9" w:rsidRP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vào</w:t>
      </w:r>
      <w:proofErr w:type="spellEnd"/>
      <w:r w:rsidR="002E15F9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15F9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2E15F9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15F9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01 </w:t>
      </w:r>
      <w:proofErr w:type="spellStart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2E15F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15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41"/>
      </w:tblGrid>
      <w:tr w:rsidR="0017150F" w:rsidRPr="001F4FAC" w:rsidTr="003B2570">
        <w:tc>
          <w:tcPr>
            <w:tcW w:w="4992" w:type="dxa"/>
          </w:tcPr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4E6888" w:rsidRPr="001F4FAC" w:rsidRDefault="004E6888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3249D9" w:rsidP="004E68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</w:t>
            </w:r>
            <w:r w:rsidR="004E688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ĐÌNH QUYỀN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111B92">
      <w:pgSz w:w="11907" w:h="16839" w:code="9"/>
      <w:pgMar w:top="54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11B92"/>
    <w:rsid w:val="0011557D"/>
    <w:rsid w:val="0017150F"/>
    <w:rsid w:val="0017284E"/>
    <w:rsid w:val="001F7A56"/>
    <w:rsid w:val="00213736"/>
    <w:rsid w:val="00261B90"/>
    <w:rsid w:val="002629D9"/>
    <w:rsid w:val="002E15F9"/>
    <w:rsid w:val="003249D9"/>
    <w:rsid w:val="00336DEC"/>
    <w:rsid w:val="00376E59"/>
    <w:rsid w:val="00386556"/>
    <w:rsid w:val="003B2570"/>
    <w:rsid w:val="00440F4A"/>
    <w:rsid w:val="00456CCD"/>
    <w:rsid w:val="004B33C1"/>
    <w:rsid w:val="004E6888"/>
    <w:rsid w:val="004F0B7E"/>
    <w:rsid w:val="004F3FC8"/>
    <w:rsid w:val="00625E6D"/>
    <w:rsid w:val="00640D04"/>
    <w:rsid w:val="0065736E"/>
    <w:rsid w:val="00696B13"/>
    <w:rsid w:val="006B6A2F"/>
    <w:rsid w:val="006D7BBE"/>
    <w:rsid w:val="007C2EC9"/>
    <w:rsid w:val="008268DA"/>
    <w:rsid w:val="00851732"/>
    <w:rsid w:val="00862567"/>
    <w:rsid w:val="008A5F9D"/>
    <w:rsid w:val="008C411E"/>
    <w:rsid w:val="008E4BE0"/>
    <w:rsid w:val="00904CD2"/>
    <w:rsid w:val="0094766B"/>
    <w:rsid w:val="00983C2D"/>
    <w:rsid w:val="009A196D"/>
    <w:rsid w:val="00A50BC6"/>
    <w:rsid w:val="00A85E8D"/>
    <w:rsid w:val="00B07B56"/>
    <w:rsid w:val="00B64BBD"/>
    <w:rsid w:val="00BB210B"/>
    <w:rsid w:val="00BD367F"/>
    <w:rsid w:val="00BF6958"/>
    <w:rsid w:val="00C21C3C"/>
    <w:rsid w:val="00D266A0"/>
    <w:rsid w:val="00D533A6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A3D7"/>
  <w15:docId w15:val="{19E4270A-EEAD-49F1-BF50-93291C51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Admin</cp:lastModifiedBy>
  <cp:revision>22</cp:revision>
  <cp:lastPrinted>2019-10-16T08:31:00Z</cp:lastPrinted>
  <dcterms:created xsi:type="dcterms:W3CDTF">2020-08-24T01:33:00Z</dcterms:created>
  <dcterms:modified xsi:type="dcterms:W3CDTF">2023-05-15T09:52:00Z</dcterms:modified>
</cp:coreProperties>
</file>